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3B51" w:rsidRDefault="00A53B51">
      <w:pPr>
        <w:pStyle w:val="Header"/>
        <w:jc w:val="right"/>
      </w:pPr>
      <w:bookmarkStart w:id="0" w:name="_GoBack"/>
      <w:bookmarkEnd w:id="0"/>
    </w:p>
    <w:p w:rsidR="00A53B51" w:rsidRDefault="00E25BAF">
      <w:pPr>
        <w:pStyle w:val="big-header"/>
        <w:keepNext/>
        <w:bidi/>
        <w:spacing w:before="440" w:beforeAutospacing="0" w:after="120" w:afterAutospacing="0"/>
        <w:ind w:right="1134"/>
        <w:jc w:val="center"/>
        <w:divId w:val="1299602057"/>
        <w:rPr>
          <w:color w:val="000000"/>
          <w:sz w:val="20"/>
          <w:szCs w:val="20"/>
        </w:rPr>
      </w:pPr>
      <w:r>
        <w:rPr>
          <w:rFonts w:cs="FrankRuehl" w:hint="cs"/>
          <w:color w:val="000000"/>
          <w:sz w:val="32"/>
          <w:szCs w:val="32"/>
          <w:rtl/>
        </w:rPr>
        <w:t>כללי ההגבלים העסקיים (פטור סוג למיזמים משותפים) (הוראת שעה),</w:t>
      </w:r>
      <w:r>
        <w:rPr>
          <w:rStyle w:val="apple-converted-space"/>
          <w:rFonts w:cs="FrankRuehl" w:hint="cs"/>
          <w:color w:val="000000"/>
          <w:sz w:val="32"/>
          <w:szCs w:val="32"/>
          <w:rtl/>
        </w:rPr>
        <w:t> </w:t>
      </w:r>
      <w:r>
        <w:rPr>
          <w:rFonts w:cs="FrankRuehl" w:hint="cs"/>
          <w:color w:val="000000"/>
          <w:sz w:val="32"/>
          <w:szCs w:val="32"/>
          <w:rtl/>
        </w:rPr>
        <w:t>תשס"ו-2006</w:t>
      </w:r>
    </w:p>
    <w:p w:rsidR="00A53B51" w:rsidRDefault="00E25BAF">
      <w:pPr>
        <w:pStyle w:val="p00"/>
        <w:bidi/>
        <w:spacing w:before="72" w:beforeAutospacing="0" w:after="0" w:afterAutospacing="0"/>
        <w:ind w:right="1134"/>
        <w:jc w:val="both"/>
        <w:divId w:val="1299602057"/>
        <w:rPr>
          <w:color w:val="000000"/>
          <w:sz w:val="20"/>
          <w:szCs w:val="20"/>
          <w:rtl/>
        </w:rPr>
      </w:pPr>
      <w:bookmarkStart w:id="1" w:name="Rov18"/>
      <w:bookmarkEnd w:id="1"/>
      <w:r>
        <w:rPr>
          <w:rStyle w:val="default"/>
          <w:rFonts w:cs="FrankRuehl" w:hint="cs"/>
          <w:color w:val="000000"/>
          <w:sz w:val="26"/>
          <w:szCs w:val="26"/>
          <w:rtl/>
        </w:rPr>
        <w:t>         </w:t>
      </w:r>
      <w:r>
        <w:rPr>
          <w:rStyle w:val="apple-converted-space"/>
          <w:rFonts w:cs="FrankRuehl" w:hint="cs"/>
          <w:color w:val="000000"/>
          <w:sz w:val="26"/>
          <w:szCs w:val="26"/>
          <w:rtl/>
        </w:rPr>
        <w:t> </w:t>
      </w:r>
      <w:r>
        <w:rPr>
          <w:rStyle w:val="default"/>
          <w:rFonts w:cs="FrankRuehl" w:hint="cs"/>
          <w:color w:val="000000"/>
          <w:sz w:val="26"/>
          <w:szCs w:val="26"/>
          <w:rtl/>
        </w:rPr>
        <w:t>בתוקף סמכותי לפי סעיף 15א לחוק ההגבלים העסקיים, התשמ"ח-1988, ובאישור הוועדה לפטורים ולמיזוגים, אני מתקינה כללי פטור סוג אלה:</w:t>
      </w:r>
    </w:p>
    <w:p w:rsidR="00A53B51" w:rsidRDefault="00E25BAF">
      <w:pPr>
        <w:pStyle w:val="p00"/>
        <w:bidi/>
        <w:spacing w:before="72" w:beforeAutospacing="0" w:after="0" w:afterAutospacing="0"/>
        <w:ind w:right="1134"/>
        <w:divId w:val="1299602057"/>
        <w:rPr>
          <w:color w:val="000000"/>
          <w:sz w:val="20"/>
          <w:szCs w:val="20"/>
        </w:rPr>
      </w:pPr>
      <w:bookmarkStart w:id="2" w:name="Seif1"/>
      <w:bookmarkEnd w:id="2"/>
      <w:r>
        <w:rPr>
          <w:rStyle w:val="big-number"/>
          <w:rFonts w:ascii="Time New Roman" w:hAnsi="Time New Roman" w:hint="cs"/>
          <w:b/>
          <w:bCs/>
          <w:color w:val="008000"/>
          <w:sz w:val="27"/>
          <w:szCs w:val="27"/>
          <w:rtl/>
        </w:rPr>
        <w:t>הגדרות</w:t>
      </w:r>
    </w:p>
    <w:p w:rsidR="00A53B51" w:rsidRDefault="00E25BAF">
      <w:pPr>
        <w:pStyle w:val="p00"/>
        <w:bidi/>
        <w:spacing w:before="72" w:beforeAutospacing="0" w:after="0" w:afterAutospacing="0"/>
        <w:ind w:right="1134"/>
        <w:jc w:val="both"/>
        <w:divId w:val="1299602057"/>
        <w:rPr>
          <w:rStyle w:val="apple-converted-space"/>
          <w:rtl/>
        </w:rPr>
      </w:pPr>
      <w:r>
        <w:rPr>
          <w:rStyle w:val="big-number"/>
          <w:rFonts w:cs="Miriam" w:hint="cs"/>
          <w:color w:val="000000"/>
          <w:sz w:val="32"/>
          <w:szCs w:val="32"/>
          <w:rtl/>
        </w:rPr>
        <w:t>1</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בכללים אלה –</w:t>
      </w:r>
    </w:p>
    <w:p w:rsidR="00A53B51" w:rsidRDefault="00E25BAF">
      <w:pPr>
        <w:pStyle w:val="p00"/>
        <w:bidi/>
        <w:spacing w:before="72" w:beforeAutospacing="0" w:after="0" w:afterAutospacing="0"/>
        <w:ind w:right="1134"/>
        <w:jc w:val="both"/>
        <w:divId w:val="1299602057"/>
        <w:rPr>
          <w:rtl/>
        </w:rPr>
      </w:pPr>
      <w:r>
        <w:rPr>
          <w:rStyle w:val="apple-converted-space"/>
          <w:rFonts w:cs="FrankRuehl" w:hint="cs"/>
          <w:color w:val="000000"/>
          <w:sz w:val="26"/>
          <w:szCs w:val="26"/>
          <w:rtl/>
        </w:rPr>
        <w:tab/>
      </w:r>
      <w:r>
        <w:rPr>
          <w:rStyle w:val="big-number"/>
          <w:rFonts w:cs="FrankRuehl" w:hint="cs"/>
          <w:color w:val="000000"/>
          <w:sz w:val="26"/>
          <w:szCs w:val="26"/>
          <w:rtl/>
        </w:rPr>
        <w:t>"מיזם משותף" – הסכם לשיתוף פעולה בייצור טובין, שיווקם או רכישתם;</w:t>
      </w:r>
    </w:p>
    <w:p w:rsidR="00A53B51" w:rsidRDefault="00E25BAF">
      <w:pPr>
        <w:pStyle w:val="p00"/>
        <w:bidi/>
        <w:spacing w:before="72" w:beforeAutospacing="0" w:after="0" w:afterAutospacing="0"/>
        <w:ind w:right="1134"/>
        <w:jc w:val="both"/>
        <w:divId w:val="1299602057"/>
        <w:rPr>
          <w:color w:val="000000"/>
          <w:sz w:val="20"/>
          <w:szCs w:val="20"/>
          <w:rtl/>
        </w:rPr>
      </w:pP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"מיזם משותף בין מתחרים" – מיזם משותף ששניים לפחות מהצדדים לו הם מתחרים;</w:t>
      </w:r>
    </w:p>
    <w:p w:rsidR="00A53B51" w:rsidRDefault="00E25BAF">
      <w:pPr>
        <w:pStyle w:val="p00"/>
        <w:bidi/>
        <w:spacing w:before="72" w:beforeAutospacing="0" w:after="0" w:afterAutospacing="0"/>
        <w:ind w:right="1134"/>
        <w:jc w:val="both"/>
        <w:divId w:val="1299602057"/>
        <w:rPr>
          <w:rStyle w:val="big-number"/>
          <w:rFonts w:cs="FrankRuehl"/>
          <w:sz w:val="26"/>
          <w:szCs w:val="26"/>
          <w:rtl/>
        </w:rPr>
      </w:pP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"מיזם משותף בין מי שאינם מתחרים" – מיזם משותף שאף צד לו אינו מתחרה של צד אחר למיזם;</w:t>
      </w:r>
    </w:p>
    <w:p w:rsidR="00A53B51" w:rsidRDefault="00E25BAF">
      <w:pPr>
        <w:pStyle w:val="p00"/>
        <w:bidi/>
        <w:spacing w:before="72" w:beforeAutospacing="0" w:after="0" w:afterAutospacing="0"/>
        <w:ind w:right="1134"/>
        <w:jc w:val="both"/>
        <w:divId w:val="1299602057"/>
        <w:rPr>
          <w:rStyle w:val="big-number"/>
          <w:rFonts w:cs="FrankRuehl"/>
          <w:color w:val="000000"/>
          <w:sz w:val="26"/>
          <w:szCs w:val="26"/>
          <w:rtl/>
        </w:rPr>
      </w:pPr>
      <w:r>
        <w:rPr>
          <w:rStyle w:val="big-number"/>
          <w:rFonts w:cs="FrankRuehl" w:hint="cs"/>
          <w:color w:val="000000"/>
          <w:sz w:val="26"/>
          <w:szCs w:val="26"/>
          <w:rtl/>
        </w:rPr>
        <w:t xml:space="preserve">           "מתחרים" לעניין סעיפים 8 ו-9א(ב) בכללים אלה, לרבות </w:t>
      </w:r>
      <w:r>
        <w:rPr>
          <w:rStyle w:val="big-number"/>
          <w:rFonts w:cs="FrankRuehl" w:hint="cs"/>
          <w:sz w:val="26"/>
          <w:szCs w:val="26"/>
          <w:rtl/>
        </w:rPr>
        <w:t>כל אחד מאלה:</w:t>
      </w:r>
    </w:p>
    <w:p w:rsidR="00A53B51" w:rsidRDefault="00E25BAF">
      <w:pPr>
        <w:pStyle w:val="p00"/>
        <w:bidi/>
        <w:spacing w:before="72" w:beforeAutospacing="0" w:after="0" w:afterAutospacing="0"/>
        <w:ind w:left="1076" w:right="1134" w:hanging="141"/>
        <w:jc w:val="both"/>
        <w:divId w:val="1299602057"/>
        <w:rPr>
          <w:rStyle w:val="big-number"/>
          <w:rFonts w:cs="FrankRuehl"/>
          <w:sz w:val="26"/>
          <w:szCs w:val="26"/>
          <w:rtl/>
        </w:rPr>
      </w:pPr>
      <w:r>
        <w:rPr>
          <w:rStyle w:val="big-number"/>
          <w:rFonts w:cs="FrankRuehl" w:hint="cs"/>
          <w:sz w:val="26"/>
          <w:szCs w:val="26"/>
          <w:rtl/>
        </w:rPr>
        <w:tab/>
        <w:t>(1)</w:t>
      </w:r>
      <w:r>
        <w:rPr>
          <w:rStyle w:val="big-number"/>
          <w:rFonts w:cs="FrankRuehl" w:hint="cs"/>
          <w:sz w:val="26"/>
          <w:szCs w:val="26"/>
          <w:rtl/>
        </w:rPr>
        <w:tab/>
        <w:t>מי שבתקופת קיומו של ההסדר הכובל, כולה או חלקה, או במהלך שלוש השנים שקדמו לה, התקיימה ביניהם תחרות בעסקים; ואולם לא יראו כמתחרים ספק של טובין ומשווק של אותם טובין שרכש מהספק, בשל כך בלבד שהספק משווק את הטובין גם בעצמו;</w:t>
      </w:r>
    </w:p>
    <w:p w:rsidR="00A53B51" w:rsidRDefault="00E25BAF">
      <w:pPr>
        <w:pStyle w:val="p00"/>
        <w:bidi/>
        <w:spacing w:before="72" w:beforeAutospacing="0" w:after="0" w:afterAutospacing="0"/>
        <w:ind w:left="1021" w:right="1134"/>
        <w:jc w:val="both"/>
        <w:divId w:val="1299602057"/>
        <w:rPr>
          <w:rStyle w:val="big-number"/>
          <w:rFonts w:cs="FrankRuehl"/>
          <w:sz w:val="26"/>
          <w:szCs w:val="26"/>
        </w:rPr>
      </w:pPr>
      <w:r>
        <w:rPr>
          <w:rStyle w:val="big-number"/>
          <w:rFonts w:cs="FrankRuehl" w:hint="cs"/>
          <w:sz w:val="26"/>
          <w:szCs w:val="26"/>
          <w:rtl/>
        </w:rPr>
        <w:t>(2)</w:t>
      </w:r>
      <w:r>
        <w:rPr>
          <w:rStyle w:val="big-number"/>
          <w:rFonts w:cs="FrankRuehl" w:hint="cs"/>
          <w:sz w:val="26"/>
          <w:szCs w:val="26"/>
          <w:rtl/>
        </w:rPr>
        <w:tab/>
        <w:t>מי שבתקופת קיומו של ההסדר הכובל, כולה או חלקה, או במהלך שלוש השנים שקדמו לה, סיפקו או רכשו טובין שהם תחליפיים בעיני הצרכן; ואולם לא יראו כמתחרים ספק של טובין ומשווק של אותם טובין שרכש מהספק, בשל כך בלבד שהספק משווק את הטובין גם בעצמו;</w:t>
      </w:r>
    </w:p>
    <w:p w:rsidR="00A53B51" w:rsidRDefault="00E25BAF">
      <w:pPr>
        <w:pStyle w:val="p00"/>
        <w:bidi/>
        <w:spacing w:before="72" w:beforeAutospacing="0" w:after="0" w:afterAutospacing="0"/>
        <w:ind w:left="1021" w:right="1134"/>
        <w:jc w:val="both"/>
        <w:divId w:val="1299602057"/>
        <w:rPr>
          <w:rStyle w:val="big-number"/>
          <w:rFonts w:cs="FrankRuehl"/>
          <w:sz w:val="26"/>
          <w:szCs w:val="26"/>
          <w:rtl/>
        </w:rPr>
      </w:pPr>
      <w:r>
        <w:rPr>
          <w:rStyle w:val="big-number"/>
          <w:rFonts w:cs="FrankRuehl" w:hint="cs"/>
          <w:sz w:val="26"/>
          <w:szCs w:val="26"/>
          <w:rtl/>
        </w:rPr>
        <w:lastRenderedPageBreak/>
        <w:t xml:space="preserve"> (3)</w:t>
      </w:r>
      <w:r>
        <w:rPr>
          <w:rStyle w:val="big-number"/>
          <w:rFonts w:cs="FrankRuehl" w:hint="cs"/>
          <w:sz w:val="26"/>
          <w:szCs w:val="26"/>
          <w:rtl/>
        </w:rPr>
        <w:tab/>
        <w:t xml:space="preserve">מי שסביר שהיו מתחרים, כאמור בפסקה (1) או בפסקה (2) אלמלא ההסדר הכובל, או מי שמסוגלים לייצר טובין שהם תחליפיים בעיני הצרכן  או לספקם באופן </w:t>
      </w:r>
      <w:proofErr w:type="spellStart"/>
      <w:r>
        <w:rPr>
          <w:rStyle w:val="big-number"/>
          <w:rFonts w:cs="FrankRuehl" w:hint="cs"/>
          <w:sz w:val="26"/>
          <w:szCs w:val="26"/>
          <w:rtl/>
        </w:rPr>
        <w:t>מיידי</w:t>
      </w:r>
      <w:proofErr w:type="spellEnd"/>
      <w:r>
        <w:rPr>
          <w:rStyle w:val="big-number"/>
          <w:rFonts w:cs="FrankRuehl" w:hint="cs"/>
          <w:sz w:val="26"/>
          <w:szCs w:val="26"/>
          <w:rtl/>
        </w:rPr>
        <w:t xml:space="preserve"> שלא על ידי רכישת פעילות קיימת של ייצור או שיווק או מי שגילו דעתם בביצוע הכנות לייצור או להספקה של טובין שהם תחליפיים בעיני הצרכן או בדרך אחרת כי בדעתם להתחיל בייצור או בהספקה כאמור במועד קרוב או מי שסביר שיעשו כן;</w:t>
      </w:r>
    </w:p>
    <w:p w:rsidR="00A53B51" w:rsidRDefault="00E25BAF">
      <w:pPr>
        <w:pStyle w:val="p00"/>
        <w:bidi/>
        <w:spacing w:before="72" w:beforeAutospacing="0" w:after="0" w:afterAutospacing="0"/>
        <w:ind w:left="1021" w:right="1134"/>
        <w:jc w:val="both"/>
        <w:divId w:val="1299602057"/>
        <w:rPr>
          <w:rStyle w:val="big-number"/>
          <w:rFonts w:cs="FrankRuehl"/>
          <w:sz w:val="26"/>
          <w:szCs w:val="26"/>
          <w:rtl/>
        </w:rPr>
      </w:pPr>
      <w:r>
        <w:rPr>
          <w:rStyle w:val="big-number"/>
          <w:rFonts w:cs="FrankRuehl" w:hint="cs"/>
          <w:sz w:val="26"/>
          <w:szCs w:val="26"/>
          <w:rtl/>
        </w:rPr>
        <w:t xml:space="preserve"> (4)</w:t>
      </w:r>
      <w:r>
        <w:rPr>
          <w:rStyle w:val="big-number"/>
          <w:rFonts w:cs="FrankRuehl" w:hint="cs"/>
          <w:sz w:val="26"/>
          <w:szCs w:val="26"/>
          <w:rtl/>
        </w:rPr>
        <w:tab/>
        <w:t xml:space="preserve">מי שההסדר הכובל נועד להגביל את היותם מתחרים כאמור בפסקה (1) או בפסקה (2); </w:t>
      </w:r>
    </w:p>
    <w:p w:rsidR="00A53B51" w:rsidRDefault="00E25BAF">
      <w:pPr>
        <w:pStyle w:val="p00"/>
        <w:bidi/>
        <w:spacing w:before="120" w:beforeAutospacing="0" w:after="0" w:afterAutospacing="0"/>
        <w:ind w:left="567" w:right="1077"/>
        <w:divId w:val="1299602057"/>
        <w:rPr>
          <w:rStyle w:val="big-number"/>
          <w:rFonts w:cs="FrankRuehl"/>
          <w:sz w:val="26"/>
          <w:szCs w:val="26"/>
          <w:rtl/>
        </w:rPr>
      </w:pPr>
      <w:r>
        <w:rPr>
          <w:rStyle w:val="big-number"/>
          <w:rFonts w:cs="FrankRuehl" w:hint="cs"/>
          <w:sz w:val="26"/>
          <w:szCs w:val="26"/>
          <w:rtl/>
        </w:rPr>
        <w:t>לעניין הגדרה זו לא תחול הגדרת "טובין תחליפיים" שבכללי ההגבלים העסקיים (הוראות והגדרות כלליות), התשס"ו-2006</w:t>
      </w:r>
      <w:r>
        <w:rPr>
          <w:rStyle w:val="FootnoteReference"/>
          <w:rFonts w:cs="FrankRuehl"/>
          <w:sz w:val="26"/>
          <w:szCs w:val="26"/>
          <w:rtl/>
        </w:rPr>
        <w:footnoteReference w:id="1"/>
      </w:r>
      <w:r>
        <w:rPr>
          <w:rStyle w:val="FootnoteReference"/>
          <w:rFonts w:cs="FrankRuehl"/>
          <w:sz w:val="26"/>
          <w:szCs w:val="26"/>
        </w:rPr>
        <w:t>{C}{C}</w:t>
      </w:r>
      <w:r>
        <w:rPr>
          <w:rStyle w:val="big-number"/>
          <w:rFonts w:cs="FrankRuehl" w:hint="cs"/>
          <w:sz w:val="26"/>
          <w:szCs w:val="26"/>
          <w:rtl/>
        </w:rPr>
        <w:t>.</w:t>
      </w:r>
    </w:p>
    <w:p w:rsidR="00A53B51" w:rsidRDefault="00E25BAF">
      <w:pPr>
        <w:pStyle w:val="NormalWeb"/>
        <w:bidi/>
        <w:rPr>
          <w:rtl/>
        </w:rPr>
      </w:pPr>
      <w:r>
        <w:rPr>
          <w:rFonts w:hint="cs"/>
          <w:rtl/>
        </w:rPr>
        <w:t> </w:t>
      </w:r>
    </w:p>
    <w:p w:rsidR="00A53B51" w:rsidRDefault="00E25BAF">
      <w:pPr>
        <w:pStyle w:val="p00"/>
        <w:bidi/>
        <w:spacing w:before="72" w:beforeAutospacing="0" w:after="0" w:afterAutospacing="0"/>
        <w:ind w:right="1134"/>
        <w:jc w:val="both"/>
        <w:divId w:val="1280792754"/>
        <w:rPr>
          <w:rStyle w:val="big-number"/>
          <w:rFonts w:cs="FrankRuehl"/>
          <w:sz w:val="26"/>
          <w:szCs w:val="26"/>
          <w:rtl/>
        </w:rPr>
      </w:pPr>
      <w:r>
        <w:rPr>
          <w:rStyle w:val="big-number"/>
          <w:rFonts w:cs="FrankRuehl" w:hint="cs"/>
          <w:sz w:val="26"/>
          <w:szCs w:val="26"/>
          <w:rtl/>
        </w:rPr>
        <w:t xml:space="preserve"> </w:t>
      </w:r>
    </w:p>
    <w:p w:rsidR="00A53B51" w:rsidRDefault="00A53B51">
      <w:pPr>
        <w:pStyle w:val="p00"/>
        <w:bidi/>
        <w:spacing w:before="72" w:beforeAutospacing="0" w:after="0" w:afterAutospacing="0"/>
        <w:ind w:right="1134"/>
        <w:jc w:val="both"/>
        <w:divId w:val="1280792754"/>
        <w:rPr>
          <w:color w:val="000000"/>
          <w:sz w:val="20"/>
          <w:szCs w:val="20"/>
          <w:rtl/>
        </w:rPr>
      </w:pP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"צד שהופקד על ייצור טובין" – גוף משותף לצדדים למיזם משותף שהוקם לצורך ייצור הטובין נושא המיזם המשותף, או אחד או יותר מהצדדים למיזם משותף שבידיהם הפקידו הצדדים את ייצור הטובין נושא המיזם המשותף;</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"צד שהופקד על שיווק טובין" – גוף משותף לצדדים למיזם משותף שהוקם לצורך שיווק הטובין נושא המיזם המשותף, או אחד או יותר מהצדדים למיזם המשותף שבידיהם הפקידו הצדדים את שיווק הטובין נושא המיזם המשותף;</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FrankRuehl" w:hint="cs"/>
          <w:color w:val="000000"/>
          <w:sz w:val="26"/>
          <w:szCs w:val="26"/>
          <w:rtl/>
        </w:rPr>
        <w:lastRenderedPageBreak/>
        <w:t>         </w:t>
      </w:r>
      <w:r>
        <w:rPr>
          <w:rStyle w:val="apple-converted-space"/>
          <w:rFonts w:cs="FrankRuehl" w:hint="cs"/>
          <w:color w:val="000000"/>
          <w:sz w:val="26"/>
          <w:szCs w:val="26"/>
          <w:rtl/>
        </w:rPr>
        <w:t> </w:t>
      </w:r>
      <w:r>
        <w:rPr>
          <w:rStyle w:val="big-number"/>
          <w:rFonts w:cs="FrankRuehl" w:hint="cs"/>
          <w:color w:val="000000"/>
          <w:sz w:val="26"/>
          <w:szCs w:val="26"/>
          <w:rtl/>
        </w:rPr>
        <w:t>"צד שהופקד על רכישת טובין" – גוף משותף לצדדים למיזם משותף שהוקם לצורך רכישת הטובין נושא המיזם המשותף, או אחד או יותר מהצדדים למיזם משותף שבידיהם הפקידו הצדדים את רכישת הטובין נושא המיזם המשותף.</w:t>
      </w:r>
    </w:p>
    <w:p w:rsidR="00A53B51" w:rsidRDefault="00E25BAF">
      <w:pPr>
        <w:pStyle w:val="p00"/>
        <w:bidi/>
        <w:spacing w:before="72" w:beforeAutospacing="0" w:after="0" w:afterAutospacing="0"/>
        <w:ind w:right="1134"/>
        <w:divId w:val="1280792754"/>
        <w:rPr>
          <w:color w:val="000000"/>
          <w:sz w:val="20"/>
          <w:szCs w:val="20"/>
          <w:rtl/>
        </w:rPr>
      </w:pPr>
      <w:bookmarkStart w:id="3" w:name="Seif2"/>
      <w:bookmarkEnd w:id="3"/>
      <w:r>
        <w:rPr>
          <w:rStyle w:val="big-number"/>
          <w:rFonts w:ascii="Time New Roman" w:hAnsi="Time New Roman" w:hint="cs"/>
          <w:b/>
          <w:bCs/>
          <w:color w:val="008000"/>
          <w:sz w:val="27"/>
          <w:szCs w:val="27"/>
          <w:rtl/>
        </w:rPr>
        <w:t>פטור למיזם משותף בין מתחרים שלא בתחום התחרות</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2</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(א) </w:t>
      </w:r>
      <w:r>
        <w:rPr>
          <w:rStyle w:val="apple-converted-space"/>
          <w:rFonts w:cs="FrankRuehl" w:hint="cs"/>
          <w:color w:val="000000"/>
          <w:sz w:val="26"/>
          <w:szCs w:val="26"/>
          <w:rtl/>
        </w:rPr>
        <w:t> </w:t>
      </w:r>
      <w:r>
        <w:rPr>
          <w:rStyle w:val="big-number"/>
          <w:rFonts w:cs="FrankRuehl" w:hint="cs"/>
          <w:color w:val="000000"/>
          <w:sz w:val="26"/>
          <w:szCs w:val="26"/>
          <w:rtl/>
        </w:rPr>
        <w:t>מיזם משותף בין מתחרים, שאינו נוגע לשוק המוצר שהם מתחרים בו, או לשוק מוצר משיק, פטור מן החובה לקבל אישור של בית הדין להגבלים עסקיים, אם התקיימו לגביו שני התנאים שלהלן וכל שאר התנאים המנויים בסעיפים 2 עד 9:</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 xml:space="preserve"> (1)  </w:t>
      </w:r>
      <w:r>
        <w:rPr>
          <w:rStyle w:val="apple-converted-space"/>
          <w:rFonts w:cs="FrankRuehl" w:hint="cs"/>
          <w:color w:val="000000"/>
          <w:sz w:val="26"/>
          <w:szCs w:val="26"/>
          <w:rtl/>
        </w:rPr>
        <w:t> </w:t>
      </w:r>
      <w:r>
        <w:rPr>
          <w:rStyle w:val="big-number"/>
          <w:rFonts w:cs="FrankRuehl" w:hint="cs"/>
          <w:color w:val="000000"/>
          <w:sz w:val="26"/>
          <w:szCs w:val="26"/>
          <w:rtl/>
        </w:rPr>
        <w:t>חלקם המצרפי של הצדדים למיזם המשותף, שהם מתחרים, אינו עולה על 30% משוק המוצר שהם מתחרים בו;</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(2)  </w:t>
      </w:r>
      <w:r>
        <w:rPr>
          <w:rStyle w:val="apple-converted-space"/>
          <w:rFonts w:cs="FrankRuehl" w:hint="cs"/>
          <w:color w:val="000000"/>
          <w:sz w:val="26"/>
          <w:szCs w:val="26"/>
          <w:rtl/>
        </w:rPr>
        <w:t> </w:t>
      </w:r>
      <w:r>
        <w:rPr>
          <w:rStyle w:val="big-number"/>
          <w:rFonts w:cs="FrankRuehl" w:hint="cs"/>
          <w:color w:val="000000"/>
          <w:sz w:val="26"/>
          <w:szCs w:val="26"/>
          <w:rtl/>
        </w:rPr>
        <w:t>בכל שוק מוצר שצדדים למיזם המשותף מתחרים בו, קיימים לפחות עוד שני מתחרים בפועל שאינם צדדים למיזם המשותף, שלכל אחד מהם נתח שוק של 10% לפחות מאותו שוק מוצר, או שלכל אחד מהם נתח שוק הזהה לנתח השוק הגדול מבין נתחי השוק של הצדדים למיזם המשותף או גדול ממנו.</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(ב) </w:t>
      </w:r>
      <w:r>
        <w:rPr>
          <w:rStyle w:val="apple-converted-space"/>
          <w:rFonts w:cs="FrankRuehl" w:hint="cs"/>
          <w:color w:val="000000"/>
          <w:sz w:val="26"/>
          <w:szCs w:val="26"/>
          <w:rtl/>
        </w:rPr>
        <w:t> </w:t>
      </w:r>
      <w:r>
        <w:rPr>
          <w:rStyle w:val="big-number"/>
          <w:rFonts w:cs="FrankRuehl" w:hint="cs"/>
          <w:color w:val="000000"/>
          <w:sz w:val="26"/>
          <w:szCs w:val="26"/>
          <w:rtl/>
        </w:rPr>
        <w:t>מותר לכלול במיזם משותף בין מתחרים הבא בגדר הוראות סעיף קטן (א), כבילות כמפורט להלן:</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 xml:space="preserve"> (1)  </w:t>
      </w:r>
      <w:r>
        <w:rPr>
          <w:rStyle w:val="apple-converted-space"/>
          <w:rFonts w:cs="FrankRuehl" w:hint="cs"/>
          <w:color w:val="000000"/>
          <w:sz w:val="26"/>
          <w:szCs w:val="26"/>
          <w:rtl/>
        </w:rPr>
        <w:t> </w:t>
      </w:r>
      <w:r>
        <w:rPr>
          <w:rStyle w:val="big-number"/>
          <w:rFonts w:cs="FrankRuehl" w:hint="cs"/>
          <w:color w:val="000000"/>
          <w:sz w:val="26"/>
          <w:szCs w:val="26"/>
          <w:rtl/>
        </w:rPr>
        <w:t>התחייבות צד, אדם השולט בו או תאגיד הנשלט על ידי מי מהם, כי בתקופת מיזם משותף שעניינו ייצור טובין, הוא לא יתחרה בייצור טובין תחליפיים לטובין שמייצר צד אחר שהופקד על ייצור הטובין;</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(2)  </w:t>
      </w:r>
      <w:r>
        <w:rPr>
          <w:rStyle w:val="apple-converted-space"/>
          <w:rFonts w:cs="FrankRuehl" w:hint="cs"/>
          <w:color w:val="000000"/>
          <w:sz w:val="26"/>
          <w:szCs w:val="26"/>
          <w:rtl/>
        </w:rPr>
        <w:t> </w:t>
      </w:r>
      <w:r>
        <w:rPr>
          <w:rStyle w:val="big-number"/>
          <w:rFonts w:cs="FrankRuehl" w:hint="cs"/>
          <w:color w:val="000000"/>
          <w:sz w:val="26"/>
          <w:szCs w:val="26"/>
          <w:rtl/>
        </w:rPr>
        <w:t>התחייבות צד לספק לצד שהופקד על ייצור טובין כמויות של חומרי גלם הדרושים לו;</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(3)  </w:t>
      </w:r>
      <w:r>
        <w:rPr>
          <w:rStyle w:val="apple-converted-space"/>
          <w:rFonts w:cs="FrankRuehl" w:hint="cs"/>
          <w:color w:val="000000"/>
          <w:sz w:val="26"/>
          <w:szCs w:val="26"/>
          <w:rtl/>
        </w:rPr>
        <w:t> </w:t>
      </w:r>
      <w:r>
        <w:rPr>
          <w:rStyle w:val="big-number"/>
          <w:rFonts w:cs="FrankRuehl" w:hint="cs"/>
          <w:color w:val="000000"/>
          <w:sz w:val="26"/>
          <w:szCs w:val="26"/>
          <w:rtl/>
        </w:rPr>
        <w:t>התחייבות צד שהופקד על ייצור טובין, לייצר כמות מסוימת של טובין לפחות;</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(4)  </w:t>
      </w:r>
      <w:r>
        <w:rPr>
          <w:rStyle w:val="apple-converted-space"/>
          <w:rFonts w:cs="FrankRuehl" w:hint="cs"/>
          <w:color w:val="000000"/>
          <w:sz w:val="26"/>
          <w:szCs w:val="26"/>
          <w:rtl/>
        </w:rPr>
        <w:t> </w:t>
      </w:r>
      <w:r>
        <w:rPr>
          <w:rStyle w:val="big-number"/>
          <w:rFonts w:cs="FrankRuehl" w:hint="cs"/>
          <w:color w:val="000000"/>
          <w:sz w:val="26"/>
          <w:szCs w:val="26"/>
          <w:rtl/>
        </w:rPr>
        <w:t>התחייבות צד שהופקד על ייצור טובין, לייצרם בהתאם לדרישות איכות נתונות;</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lastRenderedPageBreak/>
        <w:t>(5)  </w:t>
      </w:r>
      <w:r>
        <w:rPr>
          <w:rStyle w:val="apple-converted-space"/>
          <w:rFonts w:cs="FrankRuehl" w:hint="cs"/>
          <w:color w:val="000000"/>
          <w:sz w:val="26"/>
          <w:szCs w:val="26"/>
          <w:rtl/>
        </w:rPr>
        <w:t> </w:t>
      </w:r>
      <w:r>
        <w:rPr>
          <w:rStyle w:val="big-number"/>
          <w:rFonts w:cs="FrankRuehl" w:hint="cs"/>
          <w:color w:val="000000"/>
          <w:sz w:val="26"/>
          <w:szCs w:val="26"/>
          <w:rtl/>
        </w:rPr>
        <w:t>התחייבות צד שהופקד על ייצור טובין, לקיים רמות מלאי מזעריות של הטובין וחלקי חילוף להם;</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(6)  </w:t>
      </w:r>
      <w:r>
        <w:rPr>
          <w:rStyle w:val="apple-converted-space"/>
          <w:rFonts w:cs="FrankRuehl" w:hint="cs"/>
          <w:color w:val="000000"/>
          <w:sz w:val="26"/>
          <w:szCs w:val="26"/>
          <w:rtl/>
        </w:rPr>
        <w:t> </w:t>
      </w:r>
      <w:r>
        <w:rPr>
          <w:rStyle w:val="big-number"/>
          <w:rFonts w:cs="FrankRuehl" w:hint="cs"/>
          <w:color w:val="000000"/>
          <w:sz w:val="26"/>
          <w:szCs w:val="26"/>
          <w:rtl/>
        </w:rPr>
        <w:t>התחייבות צד שהופקד על ייצור טובין, לספק שירות ואחריות לטובין;</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(7)  </w:t>
      </w:r>
      <w:r>
        <w:rPr>
          <w:rStyle w:val="apple-converted-space"/>
          <w:rFonts w:cs="FrankRuehl" w:hint="cs"/>
          <w:color w:val="000000"/>
          <w:sz w:val="26"/>
          <w:szCs w:val="26"/>
          <w:rtl/>
        </w:rPr>
        <w:t> </w:t>
      </w:r>
      <w:r>
        <w:rPr>
          <w:rStyle w:val="big-number"/>
          <w:rFonts w:cs="FrankRuehl" w:hint="cs"/>
          <w:color w:val="000000"/>
          <w:sz w:val="26"/>
          <w:szCs w:val="26"/>
          <w:rtl/>
        </w:rPr>
        <w:t>התחייבות צד לרכוש מצד שהופקד על ייצור טובין כמות מסוימת של הטובין ולהימנע מרכישתם מאחר;</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 xml:space="preserve"> (8)  </w:t>
      </w:r>
      <w:r>
        <w:rPr>
          <w:rStyle w:val="apple-converted-space"/>
          <w:rFonts w:cs="FrankRuehl" w:hint="cs"/>
          <w:color w:val="000000"/>
          <w:sz w:val="26"/>
          <w:szCs w:val="26"/>
          <w:rtl/>
        </w:rPr>
        <w:t> </w:t>
      </w:r>
      <w:r>
        <w:rPr>
          <w:rStyle w:val="big-number"/>
          <w:rFonts w:cs="FrankRuehl" w:hint="cs"/>
          <w:color w:val="000000"/>
          <w:sz w:val="26"/>
          <w:szCs w:val="26"/>
          <w:rtl/>
        </w:rPr>
        <w:t>התחייבות צד, אדם השולט בו או תאגיד הנשלט על ידי מי מהם, שלא להתחרות במיזם המשותף במהלכו ולמשך תקופה שאינה עולה על שלוש שנים לאחר פרישתו ממנו;</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 xml:space="preserve"> (8א)</w:t>
      </w:r>
      <w:r>
        <w:rPr>
          <w:rStyle w:val="apple-converted-space"/>
          <w:rFonts w:cs="FrankRuehl" w:hint="cs"/>
          <w:color w:val="000000"/>
          <w:sz w:val="26"/>
          <w:szCs w:val="26"/>
          <w:rtl/>
        </w:rPr>
        <w:t> </w:t>
      </w:r>
      <w:r>
        <w:rPr>
          <w:rStyle w:val="big-number"/>
          <w:rFonts w:cs="FrankRuehl" w:hint="cs"/>
          <w:color w:val="000000"/>
          <w:sz w:val="26"/>
          <w:szCs w:val="26"/>
          <w:rtl/>
        </w:rPr>
        <w:t>התחייבות צד שהופקד על ייצור טובין לספק כמות מסוימת של הטובין לצדדים למיזם המשותף;</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 xml:space="preserve"> (8ב)</w:t>
      </w:r>
      <w:r>
        <w:rPr>
          <w:rStyle w:val="apple-converted-space"/>
          <w:rFonts w:cs="FrankRuehl" w:hint="cs"/>
          <w:color w:val="000000"/>
          <w:sz w:val="26"/>
          <w:szCs w:val="26"/>
          <w:rtl/>
        </w:rPr>
        <w:t> </w:t>
      </w:r>
      <w:r>
        <w:rPr>
          <w:rStyle w:val="big-number"/>
          <w:rFonts w:cs="FrankRuehl" w:hint="cs"/>
          <w:color w:val="000000"/>
          <w:sz w:val="26"/>
          <w:szCs w:val="26"/>
          <w:rtl/>
        </w:rPr>
        <w:t>התחייבות צד שהופקד על ייצור טובין לרכוש כמות מסוימת של תשומות הדרושות לו לשם ייצור הטובין מן הצדדים למיזם המשותף;</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 xml:space="preserve"> (9)  </w:t>
      </w:r>
      <w:r>
        <w:rPr>
          <w:rStyle w:val="apple-converted-space"/>
          <w:rFonts w:cs="FrankRuehl" w:hint="cs"/>
          <w:color w:val="000000"/>
          <w:sz w:val="26"/>
          <w:szCs w:val="26"/>
          <w:rtl/>
        </w:rPr>
        <w:t> </w:t>
      </w:r>
      <w:r>
        <w:rPr>
          <w:rStyle w:val="big-number"/>
          <w:rFonts w:cs="FrankRuehl" w:hint="cs"/>
          <w:color w:val="000000"/>
          <w:sz w:val="26"/>
          <w:szCs w:val="26"/>
          <w:rtl/>
        </w:rPr>
        <w:t xml:space="preserve">התחייבויות המקבילות לאלה המפורטות בפסקאות (1) עד (8ב) </w:t>
      </w:r>
      <w:proofErr w:type="spellStart"/>
      <w:r>
        <w:rPr>
          <w:rStyle w:val="big-number"/>
          <w:rFonts w:cs="FrankRuehl" w:hint="cs"/>
          <w:color w:val="000000"/>
          <w:sz w:val="26"/>
          <w:szCs w:val="26"/>
          <w:rtl/>
        </w:rPr>
        <w:t>שענינן</w:t>
      </w:r>
      <w:proofErr w:type="spellEnd"/>
      <w:r>
        <w:rPr>
          <w:rStyle w:val="big-number"/>
          <w:rFonts w:cs="FrankRuehl" w:hint="cs"/>
          <w:color w:val="000000"/>
          <w:sz w:val="26"/>
          <w:szCs w:val="26"/>
          <w:rtl/>
        </w:rPr>
        <w:t xml:space="preserve"> –</w:t>
      </w:r>
    </w:p>
    <w:p w:rsidR="00A53B51" w:rsidRDefault="00E25BAF">
      <w:pPr>
        <w:pStyle w:val="p00"/>
        <w:bidi/>
        <w:spacing w:before="72" w:beforeAutospacing="0" w:after="0" w:afterAutospacing="0"/>
        <w:ind w:left="1474" w:right="1134"/>
        <w:jc w:val="both"/>
        <w:divId w:val="1280792754"/>
        <w:rPr>
          <w:color w:val="000000"/>
          <w:sz w:val="20"/>
          <w:szCs w:val="20"/>
          <w:rtl/>
        </w:rPr>
      </w:pPr>
      <w:r>
        <w:rPr>
          <w:rStyle w:val="big-number"/>
          <w:rFonts w:cs="FrankRuehl" w:hint="cs"/>
          <w:color w:val="000000"/>
          <w:sz w:val="26"/>
          <w:szCs w:val="26"/>
          <w:rtl/>
        </w:rPr>
        <w:t>(א)  </w:t>
      </w:r>
      <w:r>
        <w:rPr>
          <w:rStyle w:val="apple-converted-space"/>
          <w:rFonts w:cs="FrankRuehl" w:hint="cs"/>
          <w:color w:val="000000"/>
          <w:sz w:val="26"/>
          <w:szCs w:val="26"/>
          <w:rtl/>
        </w:rPr>
        <w:t> </w:t>
      </w:r>
      <w:r>
        <w:rPr>
          <w:rStyle w:val="big-number"/>
          <w:rFonts w:cs="FrankRuehl" w:hint="cs"/>
          <w:color w:val="000000"/>
          <w:sz w:val="26"/>
          <w:szCs w:val="26"/>
          <w:rtl/>
        </w:rPr>
        <w:t>שיווק טובין במיזם המשותף;</w:t>
      </w:r>
    </w:p>
    <w:p w:rsidR="00A53B51" w:rsidRDefault="00E25BAF">
      <w:pPr>
        <w:pStyle w:val="p00"/>
        <w:bidi/>
        <w:spacing w:before="72" w:beforeAutospacing="0" w:after="0" w:afterAutospacing="0"/>
        <w:ind w:left="1474" w:right="1134"/>
        <w:jc w:val="both"/>
        <w:divId w:val="1280792754"/>
        <w:rPr>
          <w:color w:val="000000"/>
          <w:sz w:val="20"/>
          <w:szCs w:val="20"/>
          <w:rtl/>
        </w:rPr>
      </w:pPr>
      <w:r>
        <w:rPr>
          <w:rStyle w:val="big-number"/>
          <w:rFonts w:cs="FrankRuehl" w:hint="cs"/>
          <w:color w:val="000000"/>
          <w:sz w:val="26"/>
          <w:szCs w:val="26"/>
          <w:rtl/>
        </w:rPr>
        <w:t>(ב)  </w:t>
      </w:r>
      <w:r>
        <w:rPr>
          <w:rStyle w:val="apple-converted-space"/>
          <w:rFonts w:cs="FrankRuehl" w:hint="cs"/>
          <w:color w:val="000000"/>
          <w:sz w:val="26"/>
          <w:szCs w:val="26"/>
          <w:rtl/>
        </w:rPr>
        <w:t> </w:t>
      </w:r>
      <w:r>
        <w:rPr>
          <w:rStyle w:val="big-number"/>
          <w:rFonts w:cs="FrankRuehl" w:hint="cs"/>
          <w:color w:val="000000"/>
          <w:sz w:val="26"/>
          <w:szCs w:val="26"/>
          <w:rtl/>
        </w:rPr>
        <w:t>רכישת טובין שבמיזם המשותף, ובלבד שהיקף רכישת הטובין בידי המיזם המשותף אינו עולה על חמישית מהיקף התצרוכת בשוק מוצר כלשהו.</w:t>
      </w:r>
    </w:p>
    <w:p w:rsidR="00A53B51" w:rsidRDefault="00E25BAF">
      <w:pPr>
        <w:pStyle w:val="p00"/>
        <w:bidi/>
        <w:spacing w:before="72" w:beforeAutospacing="0" w:after="0" w:afterAutospacing="0"/>
        <w:ind w:right="1134"/>
        <w:divId w:val="1280792754"/>
        <w:rPr>
          <w:color w:val="000000"/>
          <w:sz w:val="20"/>
          <w:szCs w:val="20"/>
          <w:rtl/>
        </w:rPr>
      </w:pPr>
      <w:bookmarkStart w:id="4" w:name="Rov19"/>
      <w:bookmarkStart w:id="5" w:name="Seif3"/>
      <w:bookmarkEnd w:id="4"/>
      <w:bookmarkEnd w:id="5"/>
      <w:r>
        <w:rPr>
          <w:rStyle w:val="big-number"/>
          <w:rFonts w:ascii="Time New Roman" w:hAnsi="Time New Roman" w:hint="cs"/>
          <w:b/>
          <w:bCs/>
          <w:color w:val="008000"/>
          <w:sz w:val="27"/>
          <w:szCs w:val="27"/>
          <w:rtl/>
        </w:rPr>
        <w:t>פטור למיזם משותף בין מתחרים בתחום התחרות</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3</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(א) </w:t>
      </w:r>
      <w:r>
        <w:rPr>
          <w:rStyle w:val="apple-converted-space"/>
          <w:rFonts w:cs="FrankRuehl" w:hint="cs"/>
          <w:color w:val="000000"/>
          <w:sz w:val="26"/>
          <w:szCs w:val="26"/>
          <w:rtl/>
        </w:rPr>
        <w:t> </w:t>
      </w:r>
      <w:r>
        <w:rPr>
          <w:rStyle w:val="big-number"/>
          <w:rFonts w:cs="FrankRuehl" w:hint="cs"/>
          <w:color w:val="000000"/>
          <w:sz w:val="26"/>
          <w:szCs w:val="26"/>
          <w:rtl/>
        </w:rPr>
        <w:t>מיזם משותף בין מתחרים, הנוגע לשוק מוצר שהם מתחרים בו או לשוק מוצר משיק, פטור מן החובה לקבל את אישור בית הדין להגבלים עסקיים אם התקיימו לגביו כל התנאים שלהלן וכל שאר התנאים המנויים בסעיפים 2 עד 9:</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lastRenderedPageBreak/>
        <w:t>(1)  </w:t>
      </w:r>
      <w:r>
        <w:rPr>
          <w:rStyle w:val="apple-converted-space"/>
          <w:rFonts w:cs="FrankRuehl" w:hint="cs"/>
          <w:color w:val="000000"/>
          <w:sz w:val="26"/>
          <w:szCs w:val="26"/>
          <w:rtl/>
        </w:rPr>
        <w:t> </w:t>
      </w:r>
      <w:r>
        <w:rPr>
          <w:rStyle w:val="big-number"/>
          <w:rFonts w:cs="FrankRuehl" w:hint="cs"/>
          <w:color w:val="000000"/>
          <w:sz w:val="26"/>
          <w:szCs w:val="26"/>
          <w:rtl/>
        </w:rPr>
        <w:t>חלקם המצרפי של הצדדים למיזם המשותף, שהם מתחרים, אינו עולה על 20% משוק המוצר של המיזם המשותף או משוק מוצר משיק לו;</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(2)  </w:t>
      </w:r>
      <w:r>
        <w:rPr>
          <w:rStyle w:val="apple-converted-space"/>
          <w:rFonts w:cs="FrankRuehl" w:hint="cs"/>
          <w:color w:val="000000"/>
          <w:sz w:val="26"/>
          <w:szCs w:val="26"/>
          <w:rtl/>
        </w:rPr>
        <w:t> </w:t>
      </w:r>
      <w:r>
        <w:rPr>
          <w:rStyle w:val="big-number"/>
          <w:rFonts w:cs="FrankRuehl" w:hint="cs"/>
          <w:color w:val="000000"/>
          <w:sz w:val="26"/>
          <w:szCs w:val="26"/>
          <w:rtl/>
        </w:rPr>
        <w:t>חלקם המצרפי של הצדדים למיזם המשותף, שהם מתחרים, אינו עולה על 30% משוקי מוצר אחרים שבהם הם מתחרים;</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(3)  </w:t>
      </w:r>
      <w:r>
        <w:rPr>
          <w:rStyle w:val="apple-converted-space"/>
          <w:rFonts w:cs="FrankRuehl" w:hint="cs"/>
          <w:color w:val="000000"/>
          <w:sz w:val="26"/>
          <w:szCs w:val="26"/>
          <w:rtl/>
        </w:rPr>
        <w:t> </w:t>
      </w:r>
      <w:r>
        <w:rPr>
          <w:rStyle w:val="big-number"/>
          <w:rFonts w:cs="FrankRuehl" w:hint="cs"/>
          <w:color w:val="000000"/>
          <w:sz w:val="26"/>
          <w:szCs w:val="26"/>
          <w:rtl/>
        </w:rPr>
        <w:t>בכל שוק מוצר שבו צדדים למיזם המשותף מתחרים, קיימים לפחות עוד שלושה מתחרים בפועל שאינם צדדים למיזם המשותף, ולכל אחד מהם נתח שוק של 10% לפחות מאותו שוק מוצר, או שלכל אחד מהם נתח שוק הזהה לנתח השוק הגדול מבין נתחי השוק של הצדדים למיזם המשותף או גדול ממנו;</w:t>
      </w:r>
    </w:p>
    <w:p w:rsidR="00A53B51" w:rsidRDefault="00E25BAF">
      <w:pPr>
        <w:pStyle w:val="p00"/>
        <w:bidi/>
        <w:spacing w:before="72" w:beforeAutospacing="0" w:after="0" w:afterAutospacing="0"/>
        <w:ind w:left="1021" w:right="1134"/>
        <w:jc w:val="both"/>
        <w:divId w:val="1280792754"/>
        <w:rPr>
          <w:color w:val="000000"/>
          <w:sz w:val="20"/>
          <w:szCs w:val="20"/>
          <w:rtl/>
        </w:rPr>
      </w:pPr>
      <w:r>
        <w:rPr>
          <w:rStyle w:val="big-number"/>
          <w:rFonts w:cs="FrankRuehl" w:hint="cs"/>
          <w:color w:val="000000"/>
          <w:sz w:val="26"/>
          <w:szCs w:val="26"/>
          <w:rtl/>
        </w:rPr>
        <w:t>(4)  </w:t>
      </w:r>
      <w:r>
        <w:rPr>
          <w:rStyle w:val="apple-converted-space"/>
          <w:rFonts w:cs="FrankRuehl" w:hint="cs"/>
          <w:color w:val="000000"/>
          <w:sz w:val="26"/>
          <w:szCs w:val="26"/>
          <w:rtl/>
        </w:rPr>
        <w:t> </w:t>
      </w:r>
      <w:r>
        <w:rPr>
          <w:rStyle w:val="big-number"/>
          <w:rFonts w:cs="FrankRuehl" w:hint="cs"/>
          <w:color w:val="000000"/>
          <w:sz w:val="26"/>
          <w:szCs w:val="26"/>
          <w:rtl/>
        </w:rPr>
        <w:t>המיזם המשותף אינו נוגע לשיווק טובין משוק מוצר שבו הם מתחרים או משוק מוצר משיק, אלא אם כן הצדדים למיזם איחדו במסגרתו את כל פעילותם העסקית בייצור או בייבוא הטובין ומתקיימים בהם התנאים המנויים בסעיפים 2 עד 9.</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(ב) </w:t>
      </w:r>
      <w:r>
        <w:rPr>
          <w:rStyle w:val="apple-converted-space"/>
          <w:rFonts w:cs="FrankRuehl" w:hint="cs"/>
          <w:color w:val="000000"/>
          <w:sz w:val="26"/>
          <w:szCs w:val="26"/>
          <w:rtl/>
        </w:rPr>
        <w:t> </w:t>
      </w:r>
      <w:r>
        <w:rPr>
          <w:rStyle w:val="big-number"/>
          <w:rFonts w:cs="FrankRuehl" w:hint="cs"/>
          <w:color w:val="000000"/>
          <w:sz w:val="26"/>
          <w:szCs w:val="26"/>
          <w:rtl/>
        </w:rPr>
        <w:t>מותר לכלול במיזם משותף בין מתחרים הבא בגדר הוראות סעיף קטן (א), את הכבילות המפורטות בסעיף 2(ב)(1) עד (8ב).</w:t>
      </w:r>
    </w:p>
    <w:p w:rsidR="00A53B51" w:rsidRDefault="00E25BAF">
      <w:pPr>
        <w:pStyle w:val="p00"/>
        <w:bidi/>
        <w:spacing w:before="72" w:beforeAutospacing="0" w:after="0" w:afterAutospacing="0"/>
        <w:ind w:right="1134"/>
        <w:divId w:val="1280792754"/>
        <w:rPr>
          <w:color w:val="000000"/>
          <w:sz w:val="20"/>
          <w:szCs w:val="20"/>
          <w:rtl/>
        </w:rPr>
      </w:pPr>
      <w:bookmarkStart w:id="6" w:name="Rov13"/>
      <w:bookmarkStart w:id="7" w:name="Seif4"/>
      <w:bookmarkEnd w:id="6"/>
      <w:bookmarkEnd w:id="7"/>
      <w:r>
        <w:rPr>
          <w:rStyle w:val="big-number"/>
          <w:rFonts w:ascii="Time New Roman" w:hAnsi="Time New Roman" w:hint="cs"/>
          <w:b/>
          <w:bCs/>
          <w:color w:val="008000"/>
          <w:sz w:val="27"/>
          <w:szCs w:val="27"/>
          <w:rtl/>
        </w:rPr>
        <w:t>חישוב חלקם של הצדדים</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4</w:t>
      </w:r>
      <w:r>
        <w:rPr>
          <w:rStyle w:val="big-number"/>
          <w:rFonts w:cs="FrankRuehl" w:hint="cs"/>
          <w:color w:val="000000"/>
          <w:sz w:val="26"/>
          <w:szCs w:val="26"/>
          <w:rtl/>
        </w:rPr>
        <w:t>.      </w:t>
      </w:r>
      <w:r>
        <w:rPr>
          <w:rStyle w:val="apple-converted-space"/>
          <w:rFonts w:cs="FrankRuehl" w:hint="cs"/>
          <w:color w:val="000000"/>
          <w:sz w:val="26"/>
          <w:szCs w:val="26"/>
          <w:rtl/>
        </w:rPr>
        <w:t> </w:t>
      </w:r>
      <w:proofErr w:type="spellStart"/>
      <w:r>
        <w:rPr>
          <w:rStyle w:val="big-number"/>
          <w:rFonts w:cs="FrankRuehl" w:hint="cs"/>
          <w:color w:val="000000"/>
          <w:sz w:val="26"/>
          <w:szCs w:val="26"/>
          <w:rtl/>
        </w:rPr>
        <w:t>לענין</w:t>
      </w:r>
      <w:proofErr w:type="spellEnd"/>
      <w:r>
        <w:rPr>
          <w:rStyle w:val="big-number"/>
          <w:rFonts w:cs="FrankRuehl" w:hint="cs"/>
          <w:color w:val="000000"/>
          <w:sz w:val="26"/>
          <w:szCs w:val="26"/>
          <w:rtl/>
        </w:rPr>
        <w:t xml:space="preserve"> סעיפים 2 ו-3, בחישוב חלקם של צדדים להסכם בשוק מוצר יובא בחשבון, נוסף על האמור בסעיף 3 לכללי ההגבלים העסקיים (הוראות והגדרות כלליות), התשס"ו-2006 (להלן – ההוראות הכלליות), גם חלקם של אחרים שיש להם עם מי מהצדדים למיזם המשותף הסכם אחד או יותר, שהוא הסכם מו"פ כהגדרתו בכללי ההגבלים העסקיים (פטור סוג להסכמים לביצוע מחקר ופיתוח), התשס"ו-2006, או הסכם שפגיעתו קלת ערך כהגדרתו בכללי ההגבלים העסקיים (פטור סוג להסכמים שפגיעתם בתחרות קלת ערך), התשס"ו-2006, באותו שוק מוצר.</w:t>
      </w:r>
    </w:p>
    <w:p w:rsidR="00A53B51" w:rsidRDefault="00E25BAF">
      <w:pPr>
        <w:pStyle w:val="p00"/>
        <w:bidi/>
        <w:spacing w:before="72" w:beforeAutospacing="0" w:after="0" w:afterAutospacing="0"/>
        <w:ind w:right="1134"/>
        <w:divId w:val="1280792754"/>
        <w:rPr>
          <w:color w:val="000000"/>
          <w:sz w:val="20"/>
          <w:szCs w:val="20"/>
          <w:rtl/>
        </w:rPr>
      </w:pPr>
      <w:bookmarkStart w:id="8" w:name="Seif5"/>
      <w:bookmarkEnd w:id="8"/>
      <w:r>
        <w:rPr>
          <w:rStyle w:val="big-number"/>
          <w:rFonts w:ascii="Time New Roman" w:hAnsi="Time New Roman" w:hint="cs"/>
          <w:b/>
          <w:bCs/>
          <w:color w:val="008000"/>
          <w:sz w:val="27"/>
          <w:szCs w:val="27"/>
          <w:rtl/>
        </w:rPr>
        <w:t>מיזם משותף המכוון לשווקים אחרים</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lastRenderedPageBreak/>
        <w:t>5</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לעניין סעיפים 2 ו-3, מיזם משותף בין מתחרים שכולו מכוון אל מחוץ לשוק הישראלי, ואשר אינו מוכר לשוק הישראלי ואינו משווק בו, במישרין או בעקיפין – דינו כדין מיזם משותף בין מתחרים שלא בתחומי התחרות.</w:t>
      </w:r>
    </w:p>
    <w:p w:rsidR="00A53B51" w:rsidRDefault="00E25BAF">
      <w:pPr>
        <w:pStyle w:val="p00"/>
        <w:bidi/>
        <w:spacing w:before="72" w:beforeAutospacing="0" w:after="0" w:afterAutospacing="0"/>
        <w:ind w:right="1134"/>
        <w:divId w:val="1280792754"/>
        <w:rPr>
          <w:color w:val="000000"/>
          <w:sz w:val="20"/>
          <w:szCs w:val="20"/>
          <w:rtl/>
        </w:rPr>
      </w:pPr>
      <w:bookmarkStart w:id="9" w:name="Seif6"/>
      <w:bookmarkEnd w:id="9"/>
      <w:r>
        <w:rPr>
          <w:rStyle w:val="big-number"/>
          <w:rFonts w:ascii="Time New Roman" w:hAnsi="Time New Roman" w:hint="cs"/>
          <w:b/>
          <w:bCs/>
          <w:color w:val="008000"/>
          <w:sz w:val="27"/>
          <w:szCs w:val="27"/>
          <w:rtl/>
        </w:rPr>
        <w:t>כבילות נלוות כללים תשע"א-2011</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6</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פטור לפי סעיפים 2 ו-3 יחול גם על הסכם למיזם משותף בין מתחרים שכולל כבילות נוספות על אלה המותרות לו בכללים אלה, ובלבד שהכבילות הנוספות נחוצות למימוש עיקרו של ההסכם ואין בהן כדי לפגוע פגיעה של ממש בתחרות בשוק המוצר או בחלק ממנו.</w:t>
      </w:r>
    </w:p>
    <w:p w:rsidR="00A53B51" w:rsidRDefault="00E25BAF">
      <w:pPr>
        <w:pStyle w:val="p00"/>
        <w:bidi/>
        <w:spacing w:before="72" w:beforeAutospacing="0" w:after="0" w:afterAutospacing="0"/>
        <w:ind w:right="1134"/>
        <w:divId w:val="1280792754"/>
        <w:rPr>
          <w:rStyle w:val="big-number"/>
          <w:rFonts w:ascii="Time New Roman" w:hAnsi="Time New Roman"/>
          <w:b/>
          <w:bCs/>
          <w:color w:val="008000"/>
          <w:sz w:val="27"/>
          <w:szCs w:val="27"/>
          <w:rtl/>
        </w:rPr>
      </w:pPr>
      <w:bookmarkStart w:id="10" w:name="Rov14"/>
      <w:bookmarkStart w:id="11" w:name="Seif7"/>
      <w:bookmarkEnd w:id="10"/>
      <w:bookmarkEnd w:id="11"/>
      <w:r>
        <w:rPr>
          <w:rStyle w:val="big-number"/>
          <w:rFonts w:ascii="Time New Roman" w:hAnsi="Time New Roman" w:hint="cs"/>
          <w:b/>
          <w:bCs/>
          <w:color w:val="008000"/>
          <w:sz w:val="27"/>
          <w:szCs w:val="27"/>
          <w:rtl/>
        </w:rPr>
        <w:t>תנאי לפטור למיזם משותף בין מתחרים</w:t>
      </w:r>
      <w:r>
        <w:rPr>
          <w:rFonts w:hint="cs"/>
          <w:color w:val="000000"/>
          <w:sz w:val="20"/>
          <w:szCs w:val="20"/>
          <w:rtl/>
        </w:rPr>
        <w:t xml:space="preserve"> </w:t>
      </w:r>
      <w:r>
        <w:rPr>
          <w:rStyle w:val="big-number"/>
          <w:rFonts w:ascii="Time New Roman" w:hAnsi="Time New Roman" w:hint="cs"/>
          <w:b/>
          <w:bCs/>
          <w:color w:val="008000"/>
          <w:sz w:val="27"/>
          <w:szCs w:val="27"/>
          <w:rtl/>
        </w:rPr>
        <w:t xml:space="preserve">מכוח סעיפים 2 ו-3 </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7</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תנאי לתחולת פטור לפי סעיפים 2 ו-3  על הסכם למיזם משותף בין מתחרים, בין בתחום התחרות ובין בתחום אחר, הוא כי המגעים בין הצדדים במסגרת המיזם המשותף ייעשו באופן המצמצם, ככל הניתן, כל חשש להפחתת התחרות, בין בתחום התחרות ובין בתחום אחר; בכלל זה –</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ascii="Time New Roman" w:hAnsi="Time New Roman" w:hint="cs"/>
          <w:b/>
          <w:bCs/>
          <w:color w:val="008000"/>
          <w:sz w:val="27"/>
          <w:szCs w:val="27"/>
          <w:rtl/>
        </w:rPr>
        <w:t xml:space="preserve"> </w:t>
      </w:r>
      <w:r>
        <w:rPr>
          <w:rStyle w:val="big-number"/>
          <w:rFonts w:cs="FrankRuehl" w:hint="cs"/>
          <w:color w:val="000000"/>
          <w:sz w:val="26"/>
          <w:szCs w:val="26"/>
          <w:rtl/>
        </w:rPr>
        <w:t>(1) </w:t>
      </w:r>
      <w:r>
        <w:rPr>
          <w:rStyle w:val="apple-converted-space"/>
          <w:rFonts w:cs="FrankRuehl" w:hint="cs"/>
          <w:color w:val="000000"/>
          <w:sz w:val="26"/>
          <w:szCs w:val="26"/>
          <w:rtl/>
        </w:rPr>
        <w:t> </w:t>
      </w:r>
      <w:r>
        <w:rPr>
          <w:rStyle w:val="big-number"/>
          <w:rFonts w:cs="FrankRuehl" w:hint="cs"/>
          <w:color w:val="000000"/>
          <w:sz w:val="26"/>
          <w:szCs w:val="26"/>
          <w:rtl/>
        </w:rPr>
        <w:t>לא יועבר בין צדדים מידע בתחום המיזם המשותף שלא פורסם בפומבי ושעניינו עלויות, מכירות, רווחיות או תמחור, זולת ככל שנחוץ לביצוע המיזם המשותף;</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(2) </w:t>
      </w:r>
      <w:r>
        <w:rPr>
          <w:rStyle w:val="apple-converted-space"/>
          <w:rFonts w:cs="FrankRuehl" w:hint="cs"/>
          <w:color w:val="000000"/>
          <w:sz w:val="26"/>
          <w:szCs w:val="26"/>
          <w:rtl/>
        </w:rPr>
        <w:t> </w:t>
      </w:r>
      <w:r>
        <w:rPr>
          <w:rStyle w:val="big-number"/>
          <w:rFonts w:cs="FrankRuehl" w:hint="cs"/>
          <w:color w:val="000000"/>
          <w:sz w:val="26"/>
          <w:szCs w:val="26"/>
          <w:rtl/>
        </w:rPr>
        <w:t>לא יועבר בין צדדים מידע בתחומים שאינם תחום המיזם המשותף או מידע שאינו נחוץ לשם ביצוע המיזם המשותף;</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(3) </w:t>
      </w:r>
      <w:r>
        <w:rPr>
          <w:rStyle w:val="apple-converted-space"/>
          <w:rFonts w:cs="FrankRuehl" w:hint="cs"/>
          <w:color w:val="000000"/>
          <w:sz w:val="26"/>
          <w:szCs w:val="26"/>
          <w:rtl/>
        </w:rPr>
        <w:t> </w:t>
      </w:r>
      <w:r>
        <w:rPr>
          <w:rStyle w:val="big-number"/>
          <w:rFonts w:cs="FrankRuehl" w:hint="cs"/>
          <w:color w:val="000000"/>
          <w:sz w:val="26"/>
          <w:szCs w:val="26"/>
          <w:rtl/>
        </w:rPr>
        <w:t>מגעים בין צדדים יהיו רק בין בעלי תפקידים הנחוצים לביצוע המיזם המשותף;</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(4) </w:t>
      </w:r>
      <w:r>
        <w:rPr>
          <w:rStyle w:val="apple-converted-space"/>
          <w:rFonts w:cs="FrankRuehl" w:hint="cs"/>
          <w:color w:val="000000"/>
          <w:sz w:val="26"/>
          <w:szCs w:val="26"/>
          <w:rtl/>
        </w:rPr>
        <w:t> </w:t>
      </w:r>
      <w:r>
        <w:rPr>
          <w:rStyle w:val="big-number"/>
          <w:rFonts w:cs="FrankRuehl" w:hint="cs"/>
          <w:color w:val="000000"/>
          <w:sz w:val="26"/>
          <w:szCs w:val="26"/>
          <w:rtl/>
        </w:rPr>
        <w:t>יוסכמו ויופעלו נהלים להבטחת קיום האמור בפסקאות (1) עד (3).</w:t>
      </w:r>
    </w:p>
    <w:p w:rsidR="00A53B51" w:rsidRDefault="00E25BAF">
      <w:pPr>
        <w:pStyle w:val="p00"/>
        <w:bidi/>
        <w:spacing w:before="72" w:beforeAutospacing="0" w:after="0" w:afterAutospacing="0"/>
        <w:ind w:right="1134"/>
        <w:divId w:val="1280792754"/>
        <w:rPr>
          <w:color w:val="000000"/>
          <w:sz w:val="20"/>
          <w:szCs w:val="20"/>
          <w:rtl/>
        </w:rPr>
      </w:pPr>
      <w:bookmarkStart w:id="12" w:name="Rov15"/>
      <w:bookmarkStart w:id="13" w:name="Seif8"/>
      <w:bookmarkEnd w:id="12"/>
      <w:bookmarkEnd w:id="13"/>
      <w:r>
        <w:rPr>
          <w:rStyle w:val="big-number"/>
          <w:rFonts w:ascii="Time New Roman" w:hAnsi="Time New Roman" w:hint="cs"/>
          <w:b/>
          <w:bCs/>
          <w:color w:val="008000"/>
          <w:sz w:val="27"/>
          <w:szCs w:val="27"/>
          <w:rtl/>
        </w:rPr>
        <w:t>מיזם משותף בין מי שאינם מתחרים</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8</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במיזם משותף בין מי שאינם מתחרים, מותר לכלול כבילות כאמור בסעיף 2(ב) וכן כבילות נלוות כאמור בסעיף 6.</w:t>
      </w:r>
    </w:p>
    <w:p w:rsidR="00A53B51" w:rsidRDefault="00E25BAF">
      <w:pPr>
        <w:pStyle w:val="p00"/>
        <w:bidi/>
        <w:spacing w:before="72" w:beforeAutospacing="0" w:after="0" w:afterAutospacing="0"/>
        <w:ind w:right="1134"/>
        <w:divId w:val="1280792754"/>
        <w:rPr>
          <w:color w:val="000000"/>
          <w:sz w:val="20"/>
          <w:szCs w:val="20"/>
          <w:rtl/>
        </w:rPr>
      </w:pPr>
      <w:bookmarkStart w:id="14" w:name="Seif9"/>
      <w:bookmarkEnd w:id="14"/>
      <w:r>
        <w:rPr>
          <w:rStyle w:val="big-number"/>
          <w:rFonts w:ascii="Time New Roman" w:hAnsi="Time New Roman" w:hint="cs"/>
          <w:b/>
          <w:bCs/>
          <w:color w:val="008000"/>
          <w:sz w:val="27"/>
          <w:szCs w:val="27"/>
          <w:rtl/>
        </w:rPr>
        <w:t>אי-תחולת הפטור מכוח סעיפים 2 ו-3</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lastRenderedPageBreak/>
        <w:t>9</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פטור לפי סעיפים 2 ו-3 לא יחול על הסכם למיזם משותף שמתקיים בו אחד או יותר מאלה:</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(1) </w:t>
      </w:r>
      <w:r>
        <w:rPr>
          <w:rStyle w:val="apple-converted-space"/>
          <w:rFonts w:cs="FrankRuehl" w:hint="cs"/>
          <w:color w:val="000000"/>
          <w:sz w:val="26"/>
          <w:szCs w:val="26"/>
          <w:rtl/>
        </w:rPr>
        <w:t> </w:t>
      </w:r>
      <w:r>
        <w:rPr>
          <w:rStyle w:val="big-number"/>
          <w:rFonts w:cs="FrankRuehl" w:hint="cs"/>
          <w:color w:val="000000"/>
          <w:sz w:val="26"/>
          <w:szCs w:val="26"/>
          <w:rtl/>
        </w:rPr>
        <w:t>צד למיזם המשותף הוא בעל מונופולין בשוק המוצר של המיזם המשותף או בשוק מוצר משיק;</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(2) </w:t>
      </w:r>
      <w:r>
        <w:rPr>
          <w:rStyle w:val="apple-converted-space"/>
          <w:rFonts w:cs="FrankRuehl" w:hint="cs"/>
          <w:color w:val="000000"/>
          <w:sz w:val="26"/>
          <w:szCs w:val="26"/>
          <w:rtl/>
        </w:rPr>
        <w:t> </w:t>
      </w:r>
      <w:r>
        <w:rPr>
          <w:rStyle w:val="big-number"/>
          <w:rFonts w:cs="FrankRuehl" w:hint="cs"/>
          <w:color w:val="000000"/>
          <w:sz w:val="26"/>
          <w:szCs w:val="26"/>
          <w:rtl/>
        </w:rPr>
        <w:t>צד למיזם המשותף הוא בעל מונופולין בשוק מוצר, וצד אחר למיזם המשותף מתחרה בו באותו שוק מוצר;</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(3) </w:t>
      </w:r>
      <w:r>
        <w:rPr>
          <w:rStyle w:val="apple-converted-space"/>
          <w:rFonts w:cs="FrankRuehl" w:hint="cs"/>
          <w:color w:val="000000"/>
          <w:sz w:val="26"/>
          <w:szCs w:val="26"/>
          <w:rtl/>
        </w:rPr>
        <w:t> </w:t>
      </w:r>
      <w:r>
        <w:rPr>
          <w:rStyle w:val="big-number"/>
          <w:rFonts w:cs="FrankRuehl" w:hint="cs"/>
          <w:color w:val="000000"/>
          <w:sz w:val="26"/>
          <w:szCs w:val="26"/>
          <w:rtl/>
        </w:rPr>
        <w:t>המיזם המשותף צפוי להיות בעל מונופולין בשוק המוצר נושא המיזם המשותף והמיזם המשותף אינו יוצר שוק מוצר חדש;</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(4) </w:t>
      </w:r>
      <w:r>
        <w:rPr>
          <w:rStyle w:val="apple-converted-space"/>
          <w:rFonts w:cs="FrankRuehl" w:hint="cs"/>
          <w:color w:val="000000"/>
          <w:sz w:val="26"/>
          <w:szCs w:val="26"/>
          <w:rtl/>
        </w:rPr>
        <w:t> </w:t>
      </w:r>
      <w:r>
        <w:rPr>
          <w:rStyle w:val="big-number"/>
          <w:rFonts w:cs="FrankRuehl" w:hint="cs"/>
          <w:color w:val="000000"/>
          <w:sz w:val="26"/>
          <w:szCs w:val="26"/>
          <w:rtl/>
        </w:rPr>
        <w:t>ההסכם בדבר המיזם המשותף מחייב אדם להיות צד לו לתקופה העולה על עשר שנים רצופות, ולא ניתנה בו לאותו אדם האפשרות להשתחרר ממנו בהודעה שייתן זמן סביר מראש;</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(5) </w:t>
      </w:r>
      <w:r>
        <w:rPr>
          <w:rStyle w:val="apple-converted-space"/>
          <w:rFonts w:cs="FrankRuehl" w:hint="cs"/>
          <w:color w:val="000000"/>
          <w:sz w:val="26"/>
          <w:szCs w:val="26"/>
          <w:rtl/>
        </w:rPr>
        <w:t> </w:t>
      </w:r>
      <w:r>
        <w:rPr>
          <w:rStyle w:val="big-number"/>
          <w:rFonts w:cs="FrankRuehl" w:hint="cs"/>
          <w:color w:val="000000"/>
          <w:sz w:val="26"/>
          <w:szCs w:val="26"/>
          <w:rtl/>
        </w:rPr>
        <w:t>עיקרו של המיזם המשותף בהפחתת התחרות או במניעתה;</w:t>
      </w:r>
    </w:p>
    <w:p w:rsidR="00A53B51" w:rsidRDefault="00E25BAF">
      <w:pPr>
        <w:pStyle w:val="p00"/>
        <w:bidi/>
        <w:spacing w:before="72" w:beforeAutospacing="0" w:after="0" w:afterAutospacing="0"/>
        <w:ind w:left="624" w:right="1134"/>
        <w:jc w:val="both"/>
        <w:divId w:val="1280792754"/>
        <w:rPr>
          <w:color w:val="000000"/>
          <w:sz w:val="20"/>
          <w:szCs w:val="20"/>
          <w:rtl/>
        </w:rPr>
      </w:pPr>
      <w:r>
        <w:rPr>
          <w:rStyle w:val="big-number"/>
          <w:rFonts w:cs="FrankRuehl" w:hint="cs"/>
          <w:color w:val="000000"/>
          <w:sz w:val="26"/>
          <w:szCs w:val="26"/>
          <w:rtl/>
        </w:rPr>
        <w:t>(6) </w:t>
      </w:r>
      <w:r>
        <w:rPr>
          <w:rStyle w:val="apple-converted-space"/>
          <w:rFonts w:cs="FrankRuehl" w:hint="cs"/>
          <w:color w:val="000000"/>
          <w:sz w:val="26"/>
          <w:szCs w:val="26"/>
          <w:rtl/>
        </w:rPr>
        <w:t> </w:t>
      </w:r>
      <w:r>
        <w:rPr>
          <w:rStyle w:val="big-number"/>
          <w:rFonts w:cs="FrankRuehl" w:hint="cs"/>
          <w:color w:val="000000"/>
          <w:sz w:val="26"/>
          <w:szCs w:val="26"/>
          <w:rtl/>
        </w:rPr>
        <w:t>במיזם המשותף כבילות שאינן נחוצות למימוש עיקרו.</w:t>
      </w:r>
    </w:p>
    <w:p w:rsidR="00A53B51" w:rsidRDefault="00A53B51">
      <w:pPr>
        <w:pStyle w:val="p00"/>
        <w:bidi/>
        <w:spacing w:before="72" w:beforeAutospacing="0" w:after="0" w:afterAutospacing="0"/>
        <w:ind w:right="1134"/>
        <w:jc w:val="both"/>
        <w:divId w:val="1280792754"/>
        <w:rPr>
          <w:rStyle w:val="big-number"/>
          <w:rFonts w:ascii="Time New Roman" w:hAnsi="Time New Roman"/>
          <w:b/>
          <w:bCs/>
          <w:color w:val="008000"/>
          <w:sz w:val="27"/>
          <w:szCs w:val="27"/>
          <w:rtl/>
        </w:rPr>
      </w:pPr>
    </w:p>
    <w:p w:rsidR="00A53B51" w:rsidRDefault="00E25BAF">
      <w:pPr>
        <w:pStyle w:val="p00"/>
        <w:bidi/>
        <w:spacing w:before="72" w:beforeAutospacing="0" w:after="0" w:afterAutospacing="0"/>
        <w:ind w:right="1134"/>
        <w:jc w:val="both"/>
        <w:divId w:val="1280792754"/>
        <w:rPr>
          <w:rStyle w:val="big-number"/>
          <w:rFonts w:ascii="Time New Roman" w:hAnsi="Time New Roman"/>
          <w:b/>
          <w:bCs/>
          <w:color w:val="008000"/>
          <w:sz w:val="27"/>
          <w:szCs w:val="27"/>
          <w:u w:val="single"/>
          <w:rtl/>
        </w:rPr>
      </w:pPr>
      <w:r>
        <w:rPr>
          <w:rStyle w:val="big-number"/>
          <w:rFonts w:ascii="Time New Roman" w:hAnsi="Time New Roman" w:hint="cs"/>
          <w:b/>
          <w:bCs/>
          <w:color w:val="008000"/>
          <w:sz w:val="27"/>
          <w:szCs w:val="27"/>
          <w:rtl/>
        </w:rPr>
        <w:t>פטור למיזם משותף שעיקרו אינו בהפחתת התחרות ושאינו פוגע משמעותית בתחרות</w:t>
      </w:r>
    </w:p>
    <w:p w:rsidR="00A53B51" w:rsidRDefault="00A53B51">
      <w:pPr>
        <w:pStyle w:val="p00"/>
        <w:bidi/>
        <w:spacing w:before="72" w:beforeAutospacing="0" w:after="0" w:afterAutospacing="0"/>
        <w:ind w:left="624" w:right="1134"/>
        <w:jc w:val="both"/>
        <w:divId w:val="1280792754"/>
        <w:rPr>
          <w:color w:val="000000"/>
          <w:sz w:val="20"/>
          <w:szCs w:val="20"/>
          <w:rtl/>
        </w:rPr>
      </w:pPr>
    </w:p>
    <w:p w:rsidR="00A53B51" w:rsidRDefault="00E25BAF">
      <w:pPr>
        <w:pStyle w:val="p00"/>
        <w:bidi/>
        <w:spacing w:before="72" w:beforeAutospacing="0" w:after="0" w:afterAutospacing="0"/>
        <w:ind w:right="1134"/>
        <w:jc w:val="both"/>
        <w:divId w:val="1280792754"/>
        <w:rPr>
          <w:rStyle w:val="big-number"/>
          <w:rFonts w:ascii="Time New Roman" w:hAnsi="Time New Roman"/>
          <w:b/>
          <w:bCs/>
          <w:color w:val="008000"/>
          <w:sz w:val="27"/>
          <w:szCs w:val="27"/>
          <w:rtl/>
        </w:rPr>
      </w:pPr>
      <w:bookmarkStart w:id="15" w:name="Seif10"/>
      <w:bookmarkEnd w:id="15"/>
      <w:r>
        <w:rPr>
          <w:rStyle w:val="big-number"/>
          <w:rFonts w:cs="Miriam" w:hint="cs"/>
          <w:color w:val="000000"/>
          <w:sz w:val="32"/>
          <w:szCs w:val="32"/>
          <w:rtl/>
        </w:rPr>
        <w:t>9</w:t>
      </w:r>
      <w:r>
        <w:rPr>
          <w:rStyle w:val="big-number"/>
          <w:rFonts w:asciiTheme="majorBidi" w:hAnsiTheme="majorBidi" w:cstheme="majorBidi" w:hint="cs"/>
          <w:color w:val="000000"/>
          <w:sz w:val="32"/>
          <w:szCs w:val="32"/>
          <w:rtl/>
        </w:rPr>
        <w:t>א</w:t>
      </w:r>
      <w:r>
        <w:rPr>
          <w:rStyle w:val="big-number"/>
          <w:rFonts w:cs="Miriam" w:hint="cs"/>
          <w:color w:val="000000"/>
          <w:sz w:val="32"/>
          <w:szCs w:val="32"/>
          <w:rtl/>
        </w:rPr>
        <w:t>.</w:t>
      </w:r>
      <w:r>
        <w:rPr>
          <w:rStyle w:val="big-number"/>
          <w:rFonts w:ascii="Time New Roman" w:hAnsi="Time New Roman" w:hint="cs"/>
          <w:b/>
          <w:bCs/>
          <w:color w:val="008000"/>
          <w:sz w:val="27"/>
          <w:szCs w:val="27"/>
          <w:rtl/>
        </w:rPr>
        <w:t xml:space="preserve"> </w:t>
      </w:r>
      <w:r>
        <w:rPr>
          <w:rStyle w:val="big-number"/>
          <w:rFonts w:cs="FrankRuehl" w:hint="cs"/>
          <w:color w:val="000000"/>
          <w:sz w:val="26"/>
          <w:szCs w:val="26"/>
          <w:rtl/>
        </w:rPr>
        <w:t>(א) מבלי לגרוע מן  הפטורים הקבועים בסעיפים 2 ו-3, מיזם משותף פטור מן החובה לקבל אישור של בית הדין להגבלים עסקיים, אם התקיימו לגביו התנאים שלהלן</w:t>
      </w:r>
      <w:r>
        <w:rPr>
          <w:rStyle w:val="big-number"/>
          <w:rFonts w:ascii="Time New Roman" w:hAnsi="Time New Roman" w:hint="cs"/>
          <w:b/>
          <w:bCs/>
          <w:sz w:val="27"/>
          <w:szCs w:val="27"/>
          <w:rtl/>
        </w:rPr>
        <w:t>:</w:t>
      </w:r>
    </w:p>
    <w:p w:rsidR="00A53B51" w:rsidRDefault="00E25BAF">
      <w:pPr>
        <w:pStyle w:val="p00"/>
        <w:bidi/>
        <w:spacing w:before="72" w:beforeAutospacing="0" w:after="0" w:afterAutospacing="0"/>
        <w:ind w:right="1134"/>
        <w:jc w:val="both"/>
        <w:divId w:val="1280792754"/>
        <w:rPr>
          <w:rStyle w:val="big-number"/>
          <w:rFonts w:cs="FrankRuehl"/>
          <w:sz w:val="26"/>
          <w:szCs w:val="26"/>
          <w:rtl/>
        </w:rPr>
      </w:pPr>
      <w:r>
        <w:rPr>
          <w:rStyle w:val="big-number"/>
          <w:rFonts w:cs="FrankRuehl" w:hint="cs"/>
          <w:color w:val="000000"/>
          <w:sz w:val="26"/>
          <w:szCs w:val="26"/>
          <w:rtl/>
        </w:rPr>
        <w:t xml:space="preserve">             (1)  </w:t>
      </w:r>
      <w:r>
        <w:rPr>
          <w:rStyle w:val="default"/>
          <w:rFonts w:cs="FrankRuehl" w:hint="cs"/>
          <w:sz w:val="26"/>
          <w:szCs w:val="26"/>
          <w:rtl/>
        </w:rPr>
        <w:t xml:space="preserve">עיקרו של ההסדר אינו בהפחתת התחרות או במניעתה ואין בהסדר כבילות </w:t>
      </w:r>
      <w:r>
        <w:rPr>
          <w:rStyle w:val="default"/>
          <w:rFonts w:cs="FrankRuehl" w:hint="cs"/>
          <w:sz w:val="26"/>
          <w:szCs w:val="26"/>
          <w:rtl/>
        </w:rPr>
        <w:tab/>
        <w:t>שאינן נחוצות למימוש עיקרו;</w:t>
      </w:r>
    </w:p>
    <w:p w:rsidR="00A53B51" w:rsidRDefault="00E25BAF">
      <w:pPr>
        <w:pStyle w:val="p00"/>
        <w:bidi/>
        <w:spacing w:before="72" w:beforeAutospacing="0" w:after="0" w:afterAutospacing="0"/>
        <w:ind w:right="1134"/>
        <w:jc w:val="both"/>
        <w:divId w:val="1280792754"/>
        <w:rPr>
          <w:rStyle w:val="big-number"/>
          <w:rFonts w:cs="FrankRuehl"/>
          <w:color w:val="000000"/>
          <w:sz w:val="26"/>
          <w:szCs w:val="26"/>
          <w:rtl/>
        </w:rPr>
      </w:pPr>
      <w:r>
        <w:rPr>
          <w:rStyle w:val="big-number"/>
          <w:rFonts w:cs="FrankRuehl" w:hint="cs"/>
          <w:color w:val="000000"/>
          <w:sz w:val="26"/>
          <w:szCs w:val="26"/>
          <w:rtl/>
        </w:rPr>
        <w:tab/>
        <w:t xml:space="preserve">(2) </w:t>
      </w:r>
      <w:r>
        <w:rPr>
          <w:rFonts w:cs="FrankRuehl" w:hint="cs"/>
          <w:color w:val="000000"/>
          <w:sz w:val="26"/>
          <w:szCs w:val="26"/>
          <w:rtl/>
        </w:rPr>
        <w:t>הכבילות שבהסדר אינן מגבילות את התחרות בחלק ניכר של שוק המושפע מן ההסדר, או שהן עלולות להגביל את התחרות בחלק ניכר של שוק כאמור, אך אין בהן כדי לפגוע פגיעה משמעותית בתחרות בשוק כאמור</w:t>
      </w:r>
      <w:r>
        <w:rPr>
          <w:rStyle w:val="big-number"/>
          <w:rFonts w:cs="FrankRuehl" w:hint="cs"/>
          <w:color w:val="000000"/>
          <w:sz w:val="26"/>
          <w:szCs w:val="26"/>
          <w:rtl/>
        </w:rPr>
        <w:t xml:space="preserve">; </w:t>
      </w:r>
    </w:p>
    <w:p w:rsidR="00A53B51" w:rsidRDefault="00E25BAF">
      <w:pPr>
        <w:pStyle w:val="p00"/>
        <w:bidi/>
        <w:spacing w:before="72" w:beforeAutospacing="0" w:after="0" w:afterAutospacing="0"/>
        <w:ind w:right="1134"/>
        <w:jc w:val="both"/>
        <w:divId w:val="1280792754"/>
        <w:rPr>
          <w:rStyle w:val="big-number"/>
          <w:rFonts w:cs="FrankRuehl"/>
          <w:color w:val="000000"/>
          <w:sz w:val="26"/>
          <w:szCs w:val="26"/>
          <w:rtl/>
        </w:rPr>
      </w:pPr>
      <w:r>
        <w:rPr>
          <w:rStyle w:val="big-number"/>
          <w:rFonts w:cs="FrankRuehl" w:hint="cs"/>
          <w:color w:val="000000"/>
          <w:sz w:val="26"/>
          <w:szCs w:val="26"/>
          <w:rtl/>
        </w:rPr>
        <w:lastRenderedPageBreak/>
        <w:t>(ב) על אף האמור בסעיף קטן (א), פטור לפי סעיף זה לא יחול על מיזם משותף בין מתחרים אשר נוגע לשיווק טובין משוק מוצר שבו הם מתחרים, אלא אם כן הצדדים למיזם איחדו במסגרתו את כל פעילותם העסקית בייצור או בייבוא הטובין ומתקיימים במיזם המשותף יתר התנאים הקבועים בסעיף זה.</w:t>
      </w:r>
    </w:p>
    <w:p w:rsidR="00A53B51" w:rsidRDefault="00E25BAF">
      <w:pPr>
        <w:pStyle w:val="p00"/>
        <w:bidi/>
        <w:spacing w:before="72" w:beforeAutospacing="0" w:after="0" w:afterAutospacing="0"/>
        <w:ind w:right="1134"/>
        <w:jc w:val="both"/>
        <w:divId w:val="1280792754"/>
        <w:rPr>
          <w:sz w:val="20"/>
          <w:szCs w:val="20"/>
          <w:rtl/>
        </w:rPr>
      </w:pPr>
      <w:r>
        <w:rPr>
          <w:rStyle w:val="big-number"/>
          <w:rFonts w:ascii="Time New Roman" w:hAnsi="Time New Roman" w:hint="cs"/>
          <w:b/>
          <w:bCs/>
          <w:color w:val="008000"/>
          <w:sz w:val="27"/>
          <w:szCs w:val="27"/>
          <w:rtl/>
        </w:rPr>
        <w:t>תוקף כללים (מס' 2) תשע"ו-2016</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10</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 xml:space="preserve">תוקף כללים אלה עד ט' בתשרי </w:t>
      </w:r>
      <w:proofErr w:type="spellStart"/>
      <w:r>
        <w:rPr>
          <w:rStyle w:val="big-number"/>
          <w:rFonts w:cs="FrankRuehl" w:hint="cs"/>
          <w:color w:val="000000"/>
          <w:sz w:val="26"/>
          <w:szCs w:val="26"/>
          <w:rtl/>
        </w:rPr>
        <w:t>התשפ"ב</w:t>
      </w:r>
      <w:proofErr w:type="spellEnd"/>
      <w:r>
        <w:rPr>
          <w:rStyle w:val="big-number"/>
          <w:rFonts w:cs="FrankRuehl" w:hint="cs"/>
          <w:color w:val="000000"/>
          <w:sz w:val="26"/>
          <w:szCs w:val="26"/>
          <w:rtl/>
        </w:rPr>
        <w:t xml:space="preserve"> (15 בספטמבר 2021).</w:t>
      </w:r>
    </w:p>
    <w:p w:rsidR="00A53B51" w:rsidRDefault="00E25BAF">
      <w:pPr>
        <w:pStyle w:val="p00"/>
        <w:bidi/>
        <w:spacing w:before="72" w:beforeAutospacing="0" w:after="0" w:afterAutospacing="0"/>
        <w:ind w:right="1134"/>
        <w:divId w:val="1280792754"/>
        <w:rPr>
          <w:color w:val="000000"/>
          <w:sz w:val="20"/>
          <w:szCs w:val="20"/>
          <w:rtl/>
        </w:rPr>
      </w:pPr>
      <w:bookmarkStart w:id="16" w:name="Rov16"/>
      <w:bookmarkEnd w:id="16"/>
      <w:r>
        <w:rPr>
          <w:rStyle w:val="big-number"/>
          <w:rFonts w:ascii="Time New Roman" w:hAnsi="Time New Roman" w:hint="cs"/>
          <w:b/>
          <w:bCs/>
          <w:color w:val="008000"/>
          <w:sz w:val="27"/>
          <w:szCs w:val="27"/>
          <w:rtl/>
        </w:rPr>
        <w:t>כללים תשע"א-2011</w:t>
      </w:r>
    </w:p>
    <w:p w:rsidR="00A53B51" w:rsidRDefault="00E25BAF">
      <w:pPr>
        <w:pStyle w:val="p00"/>
        <w:bidi/>
        <w:spacing w:before="72" w:beforeAutospacing="0" w:after="0" w:afterAutospacing="0"/>
        <w:ind w:right="1134"/>
        <w:jc w:val="both"/>
        <w:divId w:val="1280792754"/>
        <w:rPr>
          <w:color w:val="000000"/>
          <w:sz w:val="20"/>
          <w:szCs w:val="20"/>
          <w:rtl/>
        </w:rPr>
      </w:pPr>
      <w:r>
        <w:rPr>
          <w:rStyle w:val="big-number"/>
          <w:rFonts w:cs="Miriam" w:hint="cs"/>
          <w:color w:val="000000"/>
          <w:sz w:val="32"/>
          <w:szCs w:val="32"/>
          <w:rtl/>
        </w:rPr>
        <w:t>11</w:t>
      </w:r>
      <w:r>
        <w:rPr>
          <w:rStyle w:val="big-number"/>
          <w:rFonts w:cs="FrankRuehl" w:hint="cs"/>
          <w:color w:val="000000"/>
          <w:sz w:val="26"/>
          <w:szCs w:val="26"/>
          <w:rtl/>
        </w:rPr>
        <w:t>.   </w:t>
      </w:r>
      <w:r>
        <w:rPr>
          <w:rStyle w:val="apple-converted-space"/>
          <w:rFonts w:cs="FrankRuehl" w:hint="cs"/>
          <w:color w:val="000000"/>
          <w:sz w:val="26"/>
          <w:szCs w:val="26"/>
          <w:rtl/>
        </w:rPr>
        <w:t> </w:t>
      </w:r>
      <w:r>
        <w:rPr>
          <w:rStyle w:val="big-number"/>
          <w:rFonts w:cs="FrankRuehl" w:hint="cs"/>
          <w:color w:val="000000"/>
          <w:sz w:val="26"/>
          <w:szCs w:val="26"/>
          <w:rtl/>
        </w:rPr>
        <w:t>(בוטל).</w:t>
      </w:r>
    </w:p>
    <w:p w:rsidR="00A53B51" w:rsidRDefault="00A53B51">
      <w:pPr>
        <w:bidi/>
        <w:spacing w:before="100" w:beforeAutospacing="1" w:after="100" w:afterAutospacing="1"/>
        <w:divId w:val="1280792754"/>
        <w:rPr>
          <w:rFonts w:asciiTheme="minorHAnsi" w:hAnsiTheme="minorHAnsi" w:cstheme="minorBidi"/>
          <w:rtl/>
        </w:rPr>
      </w:pPr>
      <w:bookmarkStart w:id="17" w:name="Rov17"/>
      <w:bookmarkEnd w:id="17"/>
    </w:p>
    <w:p w:rsidR="00A53B51" w:rsidRDefault="00A53B51">
      <w:pPr>
        <w:pStyle w:val="P000"/>
        <w:spacing w:before="72"/>
        <w:ind w:left="0" w:right="1134"/>
        <w:divId w:val="1280792754"/>
        <w:rPr>
          <w:rStyle w:val="default"/>
          <w:rFonts w:eastAsiaTheme="minorEastAsia"/>
          <w:rtl/>
        </w:rPr>
      </w:pPr>
    </w:p>
    <w:p w:rsidR="00A53B51" w:rsidRDefault="00E25BAF">
      <w:pPr>
        <w:pStyle w:val="sig-1"/>
        <w:tabs>
          <w:tab w:val="clear" w:pos="851"/>
          <w:tab w:val="clear" w:pos="2835"/>
          <w:tab w:val="clear" w:pos="4820"/>
          <w:tab w:val="center" w:pos="5670"/>
        </w:tabs>
        <w:spacing w:before="72"/>
        <w:ind w:left="0" w:right="1134"/>
        <w:divId w:val="1280792754"/>
        <w:rPr>
          <w:rStyle w:val="default"/>
          <w:rFonts w:eastAsiaTheme="minorEastAsia"/>
          <w:sz w:val="24"/>
          <w:szCs w:val="26"/>
          <w:rtl/>
        </w:rPr>
      </w:pPr>
      <w:r>
        <w:rPr>
          <w:rStyle w:val="default"/>
          <w:rFonts w:eastAsiaTheme="minorEastAsia" w:hint="cs"/>
          <w:sz w:val="24"/>
          <w:szCs w:val="26"/>
          <w:rtl/>
        </w:rPr>
        <w:t>כ"ז בחשוון התשע"ט (5 בנובמבר 2018)</w:t>
      </w:r>
      <w:r>
        <w:rPr>
          <w:rStyle w:val="default"/>
          <w:rFonts w:eastAsiaTheme="minorEastAsia" w:hint="cs"/>
          <w:sz w:val="24"/>
          <w:szCs w:val="26"/>
          <w:rtl/>
        </w:rPr>
        <w:tab/>
        <w:t>מיכל הלפרין</w:t>
      </w:r>
    </w:p>
    <w:p w:rsidR="00A53B51" w:rsidRDefault="00E25BAF">
      <w:pPr>
        <w:pStyle w:val="sig-1"/>
        <w:tabs>
          <w:tab w:val="clear" w:pos="851"/>
          <w:tab w:val="clear" w:pos="2835"/>
          <w:tab w:val="clear" w:pos="4820"/>
          <w:tab w:val="center" w:pos="5670"/>
        </w:tabs>
        <w:ind w:left="0" w:right="1134"/>
        <w:divId w:val="1280792754"/>
        <w:rPr>
          <w:rStyle w:val="default"/>
          <w:rFonts w:eastAsiaTheme="minorEastAsia"/>
          <w:sz w:val="28"/>
          <w:szCs w:val="26"/>
          <w:rtl/>
        </w:rPr>
      </w:pPr>
      <w:r>
        <w:rPr>
          <w:rStyle w:val="default"/>
          <w:rFonts w:eastAsiaTheme="minorEastAsia" w:hint="cs"/>
          <w:sz w:val="28"/>
          <w:szCs w:val="26"/>
          <w:rtl/>
        </w:rPr>
        <w:tab/>
        <w:t>הממונה על ההגבלים העסקיים</w:t>
      </w:r>
    </w:p>
    <w:p w:rsidR="00A53B51" w:rsidRDefault="00E25BAF">
      <w:pPr>
        <w:pStyle w:val="sig-1"/>
        <w:tabs>
          <w:tab w:val="clear" w:pos="851"/>
          <w:tab w:val="left" w:pos="1134"/>
        </w:tabs>
        <w:spacing w:before="72"/>
        <w:ind w:left="0" w:right="1134"/>
        <w:divId w:val="1280792754"/>
        <w:rPr>
          <w:rStyle w:val="default"/>
          <w:rFonts w:eastAsiaTheme="minorEastAsia"/>
          <w:sz w:val="24"/>
          <w:szCs w:val="26"/>
          <w:rtl/>
        </w:rPr>
      </w:pPr>
      <w:r>
        <w:rPr>
          <w:rStyle w:val="default"/>
          <w:rFonts w:eastAsiaTheme="minorEastAsia" w:hint="cs"/>
          <w:sz w:val="24"/>
          <w:szCs w:val="26"/>
          <w:rtl/>
        </w:rPr>
        <w:tab/>
        <w:t>נתאשר.</w:t>
      </w:r>
    </w:p>
    <w:p w:rsidR="00A53B51" w:rsidRDefault="00E25BAF">
      <w:pPr>
        <w:pStyle w:val="sig-1"/>
        <w:tabs>
          <w:tab w:val="clear" w:pos="851"/>
        </w:tabs>
        <w:spacing w:before="72"/>
        <w:ind w:left="0" w:right="1134"/>
        <w:divId w:val="1280792754"/>
        <w:rPr>
          <w:rStyle w:val="default"/>
          <w:rFonts w:eastAsiaTheme="minorEastAsia"/>
          <w:sz w:val="24"/>
          <w:szCs w:val="26"/>
          <w:rtl/>
        </w:rPr>
      </w:pPr>
      <w:r>
        <w:rPr>
          <w:rStyle w:val="default"/>
          <w:rFonts w:eastAsiaTheme="minorEastAsia" w:hint="cs"/>
          <w:sz w:val="24"/>
          <w:szCs w:val="26"/>
          <w:rtl/>
        </w:rPr>
        <w:tab/>
        <w:t>אלי כהן</w:t>
      </w:r>
    </w:p>
    <w:p w:rsidR="00A53B51" w:rsidRDefault="00E25BAF">
      <w:pPr>
        <w:pStyle w:val="sig-1"/>
        <w:tabs>
          <w:tab w:val="clear" w:pos="851"/>
        </w:tabs>
        <w:ind w:left="0" w:right="1134"/>
        <w:divId w:val="1280792754"/>
        <w:rPr>
          <w:rStyle w:val="default"/>
          <w:rFonts w:eastAsiaTheme="minorEastAsia"/>
          <w:sz w:val="28"/>
          <w:szCs w:val="26"/>
          <w:rtl/>
        </w:rPr>
      </w:pPr>
      <w:r>
        <w:rPr>
          <w:rStyle w:val="default"/>
          <w:rFonts w:eastAsiaTheme="minorEastAsia" w:hint="cs"/>
          <w:sz w:val="28"/>
          <w:szCs w:val="26"/>
          <w:rtl/>
        </w:rPr>
        <w:tab/>
        <w:t>שר התעשיה המסחר והתעסוקה</w:t>
      </w:r>
    </w:p>
    <w:p w:rsidR="00A53B51" w:rsidRDefault="00A53B51">
      <w:pPr>
        <w:bidi/>
        <w:spacing w:before="100" w:beforeAutospacing="1" w:after="100" w:afterAutospacing="1"/>
        <w:divId w:val="1280792754"/>
        <w:rPr>
          <w:rFonts w:asciiTheme="majorBidi" w:hAnsiTheme="majorBidi" w:cstheme="majorBidi"/>
          <w:rtl/>
        </w:rPr>
      </w:pPr>
    </w:p>
    <w:p w:rsidR="00A53B51" w:rsidRDefault="00A53B51">
      <w:pPr>
        <w:bidi/>
        <w:spacing w:before="100" w:beforeAutospacing="1" w:after="100" w:afterAutospacing="1"/>
        <w:divId w:val="1280792754"/>
        <w:rPr>
          <w:rFonts w:asciiTheme="minorHAnsi" w:hAnsiTheme="minorHAnsi" w:cstheme="minorBidi"/>
          <w:rtl/>
        </w:rPr>
      </w:pPr>
    </w:p>
    <w:p w:rsidR="00A53B51" w:rsidRDefault="00A53B51">
      <w:pPr>
        <w:bidi/>
        <w:spacing w:before="100" w:beforeAutospacing="1" w:after="100" w:afterAutospacing="1"/>
        <w:divId w:val="1280792754"/>
        <w:rPr>
          <w:rFonts w:asciiTheme="majorBidi" w:hAnsiTheme="majorBidi" w:cstheme="majorBidi"/>
          <w:rtl/>
        </w:rPr>
      </w:pPr>
    </w:p>
    <w:p w:rsidR="00A53B51" w:rsidRDefault="00E25BAF">
      <w:pPr>
        <w:pStyle w:val="NormalWeb"/>
        <w:bidi/>
        <w:rPr>
          <w:rtl/>
        </w:rPr>
      </w:pPr>
      <w:r>
        <w:rPr>
          <w:rFonts w:hint="cs"/>
          <w:rtl/>
        </w:rPr>
        <w:t> </w:t>
      </w:r>
    </w:p>
    <w:p w:rsidR="00A53B51" w:rsidRDefault="00A53B51">
      <w:pPr>
        <w:pStyle w:val="Footer"/>
        <w:divId w:val="1256939005"/>
        <w:rPr>
          <w:szCs w:val="14"/>
          <w:rtl/>
        </w:rPr>
      </w:pPr>
    </w:p>
    <w:p w:rsidR="00E25BAF" w:rsidRDefault="00E25BAF">
      <w:pPr>
        <w:divId w:val="1256939005"/>
        <w:rPr>
          <w:rFonts w:eastAsia="Times New Roman"/>
        </w:rPr>
      </w:pPr>
      <w:r>
        <w:rPr>
          <w:rFonts w:eastAsia="Times New Roman"/>
        </w:rPr>
        <w:lastRenderedPageBreak/>
        <w:t>\</w:t>
      </w:r>
    </w:p>
    <w:sectPr w:rsidR="00E25BAF">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5BAF" w:rsidRDefault="00E25BAF">
      <w:r>
        <w:separator/>
      </w:r>
    </w:p>
  </w:endnote>
  <w:endnote w:type="continuationSeparator" w:id="0">
    <w:p w:rsidR="00E25BAF" w:rsidRDefault="00E2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FrankRuehl">
    <w:altName w:val="Times New Roman"/>
    <w:panose1 w:val="020E0503060101010101"/>
    <w:charset w:val="B1"/>
    <w:family w:val="swiss"/>
    <w:pitch w:val="variable"/>
    <w:sig w:usb0="00000801" w:usb1="00000000" w:usb2="00000000" w:usb3="00000000" w:csb0="00000020" w:csb1="00000000"/>
  </w:font>
  <w:font w:name="Time New Roman">
    <w:panose1 w:val="00000000000000000000"/>
    <w:charset w:val="00"/>
    <w:family w:val="roman"/>
    <w:notTrueType/>
    <w:pitch w:val="default"/>
  </w:font>
  <w:font w:name="Miriam">
    <w:altName w:val="Malgun Gothic Semilight"/>
    <w:panose1 w:val="020B0502050101010101"/>
    <w:charset w:val="B1"/>
    <w:family w:val="swiss"/>
    <w:pitch w:val="variable"/>
    <w:sig w:usb0="00000801" w:usb1="00000000" w:usb2="00000000" w:usb3="00000000" w:csb0="0000002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5BAF" w:rsidRDefault="00E25BAF">
      <w:r>
        <w:separator/>
      </w:r>
    </w:p>
  </w:footnote>
  <w:footnote w:type="continuationSeparator" w:id="0">
    <w:p w:rsidR="00E25BAF" w:rsidRDefault="00E25BAF">
      <w:r>
        <w:continuationSeparator/>
      </w:r>
    </w:p>
  </w:footnote>
  <w:footnote w:id="1">
    <w:p w:rsidR="00A53B51" w:rsidRDefault="00E25BAF">
      <w:pPr>
        <w:pStyle w:val="FootnoteText"/>
        <w:bidi/>
        <w:rPr>
          <w:rFonts w:asciiTheme="majorBidi" w:hAnsiTheme="majorBidi" w:cstheme="majorBidi"/>
        </w:rPr>
      </w:pPr>
      <w:r>
        <w:rPr>
          <w:rStyle w:val="FootnoteReference"/>
        </w:rPr>
        <w:footnoteRef/>
      </w:r>
      <w:r>
        <w:rPr>
          <w:rFonts w:asciiTheme="minorHAnsi" w:hAnsiTheme="minorHAnsi" w:cstheme="minorBidi"/>
          <w:rtl/>
        </w:rPr>
        <w:t xml:space="preserve"> </w:t>
      </w:r>
      <w:proofErr w:type="spellStart"/>
      <w:r>
        <w:rPr>
          <w:rFonts w:asciiTheme="majorBidi" w:hAnsiTheme="majorBidi" w:cstheme="majorBidi" w:hint="cs"/>
          <w:rtl/>
        </w:rPr>
        <w:t>ק"ת</w:t>
      </w:r>
      <w:proofErr w:type="spellEnd"/>
      <w:r>
        <w:rPr>
          <w:rFonts w:asciiTheme="majorBidi" w:hAnsiTheme="majorBidi" w:cstheme="majorBidi" w:hint="cs"/>
          <w:rtl/>
        </w:rPr>
        <w:t xml:space="preserve"> </w:t>
      </w:r>
      <w:proofErr w:type="spellStart"/>
      <w:r>
        <w:rPr>
          <w:rFonts w:asciiTheme="majorBidi" w:hAnsiTheme="majorBidi" w:cstheme="majorBidi" w:hint="cs"/>
          <w:rtl/>
        </w:rPr>
        <w:t>התשס"ו</w:t>
      </w:r>
      <w:proofErr w:type="spellEnd"/>
      <w:r>
        <w:rPr>
          <w:rFonts w:asciiTheme="majorBidi" w:hAnsiTheme="majorBidi" w:cstheme="majorBidi" w:hint="cs"/>
          <w:rtl/>
        </w:rPr>
        <w:t xml:space="preserve"> 6488 עמ' 828.</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069"/>
    <w:rsid w:val="001B21D9"/>
    <w:rsid w:val="00A53B51"/>
    <w:rsid w:val="00B02069"/>
    <w:rsid w:val="00E25BAF"/>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6044019-1998-4377-8242-CA8CE4AA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uiPriority w:val="99"/>
    <w:semiHidden/>
    <w:pP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FootnoteText">
    <w:name w:val="footnote text"/>
    <w:basedOn w:val="Normal"/>
    <w:link w:val="FootnoteTextChar"/>
    <w:uiPriority w:val="99"/>
    <w:semiHidden/>
    <w:unhideWhenUsed/>
    <w:pPr>
      <w:spacing w:before="100" w:beforeAutospacing="1" w:after="100" w:afterAutospacing="1"/>
    </w:pPr>
  </w:style>
  <w:style w:type="character" w:customStyle="1" w:styleId="FootnoteTextChar">
    <w:name w:val="Footnote Text Char"/>
    <w:basedOn w:val="DefaultParagraphFont"/>
    <w:link w:val="FootnoteText"/>
    <w:uiPriority w:val="99"/>
    <w:semiHidden/>
    <w:locked/>
    <w:rPr>
      <w:rFonts w:ascii="Times New Roman" w:eastAsiaTheme="minorEastAsia" w:hAnsi="Times New Roman" w:cs="Times New Roman" w:hint="default"/>
    </w:rPr>
  </w:style>
  <w:style w:type="paragraph" w:styleId="Header">
    <w:name w:val="header"/>
    <w:basedOn w:val="Normal"/>
    <w:link w:val="HeaderChar"/>
    <w:uiPriority w:val="99"/>
    <w:semiHidden/>
    <w:unhideWhenUsed/>
    <w:pPr>
      <w:spacing w:before="100" w:beforeAutospacing="1" w:after="100" w:afterAutospacing="1"/>
    </w:pPr>
  </w:style>
  <w:style w:type="character" w:customStyle="1" w:styleId="HeaderChar">
    <w:name w:val="Header Char"/>
    <w:basedOn w:val="DefaultParagraphFont"/>
    <w:link w:val="Header"/>
    <w:uiPriority w:val="99"/>
    <w:semiHidden/>
    <w:locked/>
    <w:rPr>
      <w:rFonts w:ascii="Times New Roman" w:eastAsiaTheme="minorEastAsia" w:hAnsi="Times New Roman" w:cs="Times New Roman" w:hint="default"/>
      <w:sz w:val="24"/>
      <w:szCs w:val="24"/>
    </w:rPr>
  </w:style>
  <w:style w:type="paragraph" w:styleId="Footer">
    <w:name w:val="footer"/>
    <w:basedOn w:val="Normal"/>
    <w:link w:val="FooterChar"/>
    <w:uiPriority w:val="99"/>
    <w:semiHidden/>
    <w:unhideWhenUsed/>
    <w:pPr>
      <w:spacing w:before="100" w:beforeAutospacing="1" w:after="100" w:afterAutospacing="1"/>
    </w:pPr>
  </w:style>
  <w:style w:type="character" w:customStyle="1" w:styleId="FooterChar">
    <w:name w:val="Footer Char"/>
    <w:basedOn w:val="DefaultParagraphFont"/>
    <w:link w:val="Footer"/>
    <w:uiPriority w:val="99"/>
    <w:semiHidden/>
    <w:locked/>
    <w:rPr>
      <w:rFonts w:ascii="Times New Roman" w:eastAsiaTheme="minorEastAsia" w:hAnsi="Times New Roman" w:cs="Times New Roman" w:hint="default"/>
      <w:sz w:val="24"/>
      <w:szCs w:val="24"/>
    </w:rPr>
  </w:style>
  <w:style w:type="paragraph" w:customStyle="1" w:styleId="big-header">
    <w:name w:val="big-header"/>
    <w:basedOn w:val="Normal"/>
    <w:uiPriority w:val="99"/>
    <w:semiHidden/>
    <w:pPr>
      <w:spacing w:before="100" w:beforeAutospacing="1" w:after="100" w:afterAutospacing="1"/>
    </w:pPr>
  </w:style>
  <w:style w:type="paragraph" w:customStyle="1" w:styleId="p00">
    <w:name w:val="p00"/>
    <w:basedOn w:val="Normal"/>
    <w:uiPriority w:val="99"/>
    <w:semiHidden/>
    <w:pPr>
      <w:spacing w:before="100" w:beforeAutospacing="1" w:after="100" w:afterAutospacing="1"/>
    </w:pPr>
  </w:style>
  <w:style w:type="paragraph" w:customStyle="1" w:styleId="P000">
    <w:name w:val="P00"/>
    <w:uiPriority w:val="99"/>
    <w:semiHidden/>
    <w:pPr>
      <w:widowControl w:val="0"/>
      <w:tabs>
        <w:tab w:val="left" w:pos="624"/>
        <w:tab w:val="left" w:pos="1021"/>
        <w:tab w:val="left" w:pos="1474"/>
        <w:tab w:val="left" w:pos="1928"/>
        <w:tab w:val="left" w:pos="2381"/>
        <w:tab w:val="left" w:pos="2835"/>
        <w:tab w:val="right" w:leader="dot" w:pos="6259"/>
      </w:tabs>
      <w:suppressAutoHyphens/>
      <w:autoSpaceDE w:val="0"/>
      <w:autoSpaceDN w:val="0"/>
      <w:bidi/>
      <w:spacing w:before="60"/>
      <w:ind w:left="2835"/>
      <w:jc w:val="both"/>
    </w:pPr>
    <w:rPr>
      <w:rFonts w:cs="FrankRuehl"/>
      <w:noProof/>
      <w:szCs w:val="26"/>
      <w:lang w:eastAsia="he-IL"/>
    </w:rPr>
  </w:style>
  <w:style w:type="paragraph" w:customStyle="1" w:styleId="sig-1">
    <w:name w:val="sig-1"/>
    <w:uiPriority w:val="99"/>
    <w:semiHidden/>
    <w:pPr>
      <w:widowControl w:val="0"/>
      <w:tabs>
        <w:tab w:val="center" w:pos="851"/>
        <w:tab w:val="center" w:pos="2835"/>
        <w:tab w:val="center" w:pos="4820"/>
      </w:tabs>
      <w:autoSpaceDE w:val="0"/>
      <w:autoSpaceDN w:val="0"/>
      <w:bidi/>
      <w:ind w:left="2835"/>
      <w:jc w:val="both"/>
    </w:pPr>
    <w:rPr>
      <w:rFonts w:cs="FrankRuehl"/>
      <w:noProof/>
      <w:szCs w:val="22"/>
      <w:lang w:eastAsia="he-IL"/>
    </w:rPr>
  </w:style>
  <w:style w:type="character" w:customStyle="1" w:styleId="apple-converted-space">
    <w:name w:val="apple-converted-space"/>
    <w:basedOn w:val="DefaultParagraphFont"/>
  </w:style>
  <w:style w:type="character" w:customStyle="1" w:styleId="default">
    <w:name w:val="default"/>
    <w:basedOn w:val="DefaultParagraphFont"/>
  </w:style>
  <w:style w:type="character" w:customStyle="1" w:styleId="big-number">
    <w:name w:val="big-number"/>
    <w:basedOn w:val="DefaultParagraphFont"/>
  </w:style>
  <w:style w:type="character" w:styleId="FootnoteReference">
    <w:name w:val="footnote reference"/>
    <w:basedOn w:val="DefaultParagraphFon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6939005">
      <w:marLeft w:val="0"/>
      <w:marRight w:val="0"/>
      <w:marTop w:val="0"/>
      <w:marBottom w:val="0"/>
      <w:divBdr>
        <w:top w:val="none" w:sz="0" w:space="0" w:color="auto"/>
        <w:left w:val="none" w:sz="0" w:space="0" w:color="auto"/>
        <w:bottom w:val="none" w:sz="0" w:space="0" w:color="auto"/>
        <w:right w:val="none" w:sz="0" w:space="0" w:color="auto"/>
      </w:divBdr>
    </w:div>
    <w:div w:id="1280792754">
      <w:marLeft w:val="0"/>
      <w:marRight w:val="0"/>
      <w:marTop w:val="0"/>
      <w:marBottom w:val="0"/>
      <w:divBdr>
        <w:top w:val="none" w:sz="0" w:space="0" w:color="auto"/>
        <w:left w:val="none" w:sz="0" w:space="0" w:color="auto"/>
        <w:bottom w:val="none" w:sz="0" w:space="0" w:color="auto"/>
        <w:right w:val="none" w:sz="0" w:space="0" w:color="auto"/>
      </w:divBdr>
    </w:div>
    <w:div w:id="1299602057">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1537</Words>
  <Characters>7232</Characters>
  <Application>Microsoft Office Word</Application>
  <DocSecurity>4</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Sapir Globman</dc:creator>
  <cp:keywords/>
  <dc:description/>
  <cp:lastModifiedBy>Melita Shafir</cp:lastModifiedBy>
  <cp:revision>2</cp:revision>
  <dcterms:created xsi:type="dcterms:W3CDTF">2018-11-18T10:16:00Z</dcterms:created>
  <dcterms:modified xsi:type="dcterms:W3CDTF">2018-11-18T10:16:00Z</dcterms:modified>
</cp:coreProperties>
</file>